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Debarjun Mazumder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my task before deadline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1: Problem Description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Process(Take part)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Process(Take part)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before deadline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Process,affinity diagram,survey.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Chowdhury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before deadline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Process,survey.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before deadline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5: Scenario And StoryBoard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her task before deadline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4: User Personas.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rHeight w:val="1058.281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 Chowdhury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Yes, our team collaborated exceptionally well,No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The task guidelines were explicit and greatly facilitated our project understanding, while everyone's contributions were well-aligned, leading to a smooth workflow without any significant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___Debarjun Mazumder____________________________________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1XWjWTxlksLBNZ6Frab4IDQ+eA==">CgMxLjAyCGguZ2pkZ3hzOAByITFWSTNSeDJjam9CNG1xa3JrV3hhbC1KSzdvRTZfUFJPTw==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