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</w:t>
        <w:tab/>
        <w:tab/>
        <w:t xml:space="preserve">Team: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</w:t>
      </w:r>
      <w:r w:rsidDel="00000000" w:rsidR="00000000" w:rsidRPr="00000000">
        <w:rPr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40.0" w:type="dxa"/>
        <w:jc w:val="left"/>
        <w:tblInd w:w="-4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890"/>
        <w:gridCol w:w="2160"/>
        <w:gridCol w:w="3420"/>
        <w:gridCol w:w="4050"/>
        <w:gridCol w:w="1710"/>
        <w:tblGridChange w:id="0">
          <w:tblGrid>
            <w:gridCol w:w="1110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 task before deadline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1: Problem Description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Process(Take part)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Process(Take part)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did his work on time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Process,affinity diagram,survey.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Chowdhury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my work on time.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Process,survey.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 task before deadline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5: Scenario And StoryBoard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4.14062499999996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 task before deadline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Personas.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rHeight w:val="1058.281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Yes,good compatibility with him.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Roboto" w:cs="Roboto" w:eastAsia="Roboto" w:hAnsi="Roboto"/>
          <w:color w:val="0f0f0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Yes,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Roboto" w:cs="Roboto" w:eastAsia="Roboto" w:hAnsi="Roboto"/>
          <w:color w:val="0f0f0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 Our team collaborated exceptionally well,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The task guidelines were explicit and greatly facilitated our project understanding, while everyone's contributions were well-aligned, leading to a smooth workflow without any significant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mhIswdsAvIHAxzQnECTOXqzybw==">CgMxLjAyCGguZ2pkZ3hzOAByITFiZVlxZU15aGs0NGdCLTVDellPSTg1ckt2RnY3MnM2Ng==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