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E16C" w14:textId="69844B04" w:rsidR="00AC6661" w:rsidRPr="00AC6661" w:rsidRDefault="00AC6661" w:rsidP="00913D1B">
      <w:pPr>
        <w:pStyle w:val="Title"/>
        <w:spacing w:line="276" w:lineRule="auto"/>
        <w:rPr>
          <w:sz w:val="24"/>
          <w:szCs w:val="24"/>
        </w:rPr>
      </w:pPr>
      <w:r w:rsidRPr="00AC6661">
        <w:rPr>
          <w:sz w:val="24"/>
          <w:szCs w:val="24"/>
        </w:rPr>
        <w:t>Touro University Graduate School of Technology</w:t>
      </w:r>
    </w:p>
    <w:p w14:paraId="37012ECD" w14:textId="693C0E02" w:rsidR="00425F55" w:rsidRPr="00AC6661" w:rsidRDefault="00000000" w:rsidP="00913D1B">
      <w:pPr>
        <w:pStyle w:val="Title"/>
        <w:spacing w:line="276" w:lineRule="auto"/>
        <w:rPr>
          <w:sz w:val="24"/>
          <w:szCs w:val="24"/>
        </w:rPr>
      </w:pPr>
      <w:r w:rsidRPr="00AC6661">
        <w:rPr>
          <w:sz w:val="24"/>
          <w:szCs w:val="24"/>
        </w:rPr>
        <w:t>Challenges and Risks with AI:</w:t>
      </w:r>
      <w:r w:rsidR="00AC6661" w:rsidRPr="00AC6661">
        <w:rPr>
          <w:sz w:val="24"/>
          <w:szCs w:val="24"/>
        </w:rPr>
        <w:t xml:space="preserve"> </w:t>
      </w:r>
      <w:r w:rsidRPr="00AC6661">
        <w:rPr>
          <w:sz w:val="24"/>
          <w:szCs w:val="24"/>
        </w:rPr>
        <w:t>Company and Government Actions</w:t>
      </w:r>
    </w:p>
    <w:p w14:paraId="4FF533D5" w14:textId="77777777" w:rsidR="00425F55" w:rsidRDefault="00000000" w:rsidP="00913D1B">
      <w:pPr>
        <w:spacing w:after="240" w:line="276" w:lineRule="auto"/>
        <w:jc w:val="center"/>
        <w:rPr>
          <w:b/>
          <w:bCs/>
        </w:rPr>
      </w:pPr>
      <w:r w:rsidRPr="00AC6661">
        <w:rPr>
          <w:b/>
          <w:bCs/>
        </w:rPr>
        <w:t>Professor Behrooz Khorsandi</w:t>
      </w:r>
    </w:p>
    <w:p w14:paraId="5F21D944" w14:textId="02107264" w:rsidR="00425F55" w:rsidRPr="00AC6661" w:rsidRDefault="00000000" w:rsidP="00913D1B">
      <w:pPr>
        <w:jc w:val="both"/>
        <w:rPr>
          <w:b/>
          <w:bCs/>
        </w:rPr>
      </w:pPr>
      <w:r w:rsidRPr="00AC6661">
        <w:rPr>
          <w:b/>
          <w:bCs/>
        </w:rPr>
        <w:t>Challenge 1: Bias Can Affect Results</w:t>
      </w:r>
    </w:p>
    <w:p w14:paraId="3098F50D" w14:textId="77777777" w:rsidR="00425F55" w:rsidRPr="00AC6661" w:rsidRDefault="00000000" w:rsidP="00913D1B">
      <w:pPr>
        <w:jc w:val="both"/>
      </w:pPr>
      <w:r w:rsidRPr="00AC6661">
        <w:t>Artificial intelligence systems can produce biased outcomes when trained on data that reflects historical prejudices or lacks diverse representation. This challenge manifests in critical applications such as loan approvals discriminating by gender, hiring algorithms favoring certain demographics, and facial recognition systems performing poorly on underrepresented groups.</w:t>
      </w:r>
    </w:p>
    <w:p w14:paraId="76FDBB0D" w14:textId="77777777" w:rsidR="00425F55" w:rsidRPr="00AC6661" w:rsidRDefault="00000000" w:rsidP="00913D1B">
      <w:pPr>
        <w:pStyle w:val="Heading1"/>
        <w:jc w:val="both"/>
        <w:rPr>
          <w:sz w:val="24"/>
          <w:szCs w:val="24"/>
        </w:rPr>
      </w:pPr>
      <w:r w:rsidRPr="00AC6661">
        <w:rPr>
          <w:sz w:val="24"/>
          <w:szCs w:val="24"/>
        </w:rPr>
        <w:t>Government Actions</w:t>
      </w:r>
    </w:p>
    <w:p w14:paraId="70CC3D46" w14:textId="5AE7DF61" w:rsidR="00425F55" w:rsidRPr="00AC6661" w:rsidRDefault="00000000" w:rsidP="00913D1B">
      <w:pPr>
        <w:jc w:val="both"/>
      </w:pPr>
      <w:r w:rsidRPr="00AC6661">
        <w:t>In May 2024, Colorado became the first U.S. state to enact comprehensive legislation addressing algorithmic bias through the Colorado AI Act. This law requires developers and deployers of high-risk AI systems to use reasonable care to prevent discrimination and mandates disclosure of AI usage to consumers. The legislation covers consequential decisions in employment, healthcare, education, and legal services.</w:t>
      </w:r>
      <w:r w:rsidR="00AC6661">
        <w:t xml:space="preserve"> </w:t>
      </w:r>
      <w:r w:rsidRPr="00AC6661">
        <w:t>The European Union's AI Act, which became binding in August 2024, establishes a risk-based framework requiring high-risk AI systems to undergo bias testing and implement mitigation measures. Systems used in hiring, credit scoring, and law enforcement face the strictest requirements, including mandatory conformity assessments and human oversight.</w:t>
      </w:r>
      <w:r w:rsidR="00913D1B">
        <w:t xml:space="preserve"> </w:t>
      </w:r>
      <w:r w:rsidRPr="00AC6661">
        <w:t>At the federal level, Senator Ed Markey introduced the AI Civil Rights Act of 2024, which would require pre-deployment evaluations and post-deployment impact assessments to identify discriminatory outcomes. The legislation authorizes the FTC, state attorneys general, and private individuals to enforce compliance.</w:t>
      </w:r>
    </w:p>
    <w:p w14:paraId="66578EF4" w14:textId="77777777" w:rsidR="00425F55" w:rsidRPr="00AC6661" w:rsidRDefault="00000000" w:rsidP="00913D1B">
      <w:pPr>
        <w:pStyle w:val="Heading1"/>
        <w:jc w:val="both"/>
        <w:rPr>
          <w:sz w:val="24"/>
          <w:szCs w:val="24"/>
        </w:rPr>
      </w:pPr>
      <w:r w:rsidRPr="00AC6661">
        <w:rPr>
          <w:sz w:val="24"/>
          <w:szCs w:val="24"/>
        </w:rPr>
        <w:t>Company Actions</w:t>
      </w:r>
    </w:p>
    <w:p w14:paraId="44A2267E" w14:textId="795F7127" w:rsidR="00425F55" w:rsidRDefault="00000000" w:rsidP="00913D1B">
      <w:pPr>
        <w:jc w:val="both"/>
      </w:pPr>
      <w:r w:rsidRPr="00AC6661">
        <w:t>Major technology companies are implementing internal bias auditing frameworks. Organizations are conducting regular algorithmic audits, using diverse and representative training datasets, and employing techniques such as SHAP (Shapley Additive Explanations) to detect and explain biased predictions. A major European bank reduced credit decision disputes by 30% after implementing explainable AI models to justify each denial. Companies are also establishing AI ethics boards to oversee development practices and ensure fairness in automated decision-making systems.</w:t>
      </w:r>
    </w:p>
    <w:p w14:paraId="1BAB7695" w14:textId="77777777" w:rsidR="00425F55" w:rsidRPr="00AC6661" w:rsidRDefault="00000000" w:rsidP="00AC6661">
      <w:pPr>
        <w:pStyle w:val="Heading1"/>
        <w:jc w:val="both"/>
        <w:rPr>
          <w:sz w:val="24"/>
          <w:szCs w:val="24"/>
        </w:rPr>
      </w:pPr>
      <w:r w:rsidRPr="00AC6661">
        <w:rPr>
          <w:sz w:val="24"/>
          <w:szCs w:val="24"/>
        </w:rPr>
        <w:lastRenderedPageBreak/>
        <w:t>Challenge 2: Errors Can Cause Harm</w:t>
      </w:r>
    </w:p>
    <w:p w14:paraId="1BF0FE8F" w14:textId="77777777" w:rsidR="00425F55" w:rsidRPr="00AC6661" w:rsidRDefault="00000000" w:rsidP="00AC6661">
      <w:pPr>
        <w:jc w:val="both"/>
      </w:pPr>
      <w:r w:rsidRPr="00AC6661">
        <w:t>AI systems can make errors with serious real-world consequences, particularly in safety-critical applications. Autonomous vehicles experiencing system failures can cause collisions, medical diagnostic AI can misidentify conditions leading to improper treatment, and industrial AI systems can make dangerous operational decisions. Unlike human errors, AI errors can be systematic and affect thousands of decisions simultaneously.</w:t>
      </w:r>
    </w:p>
    <w:p w14:paraId="076271EB" w14:textId="77777777" w:rsidR="00425F55" w:rsidRPr="00AC6661" w:rsidRDefault="00000000" w:rsidP="00AC6661">
      <w:pPr>
        <w:pStyle w:val="Heading1"/>
        <w:jc w:val="both"/>
        <w:rPr>
          <w:sz w:val="24"/>
          <w:szCs w:val="24"/>
        </w:rPr>
      </w:pPr>
      <w:r w:rsidRPr="00AC6661">
        <w:rPr>
          <w:sz w:val="24"/>
          <w:szCs w:val="24"/>
        </w:rPr>
        <w:t>Government Actions</w:t>
      </w:r>
    </w:p>
    <w:p w14:paraId="66B90029" w14:textId="77777777" w:rsidR="00425F55" w:rsidRPr="00AC6661" w:rsidRDefault="00000000" w:rsidP="00AC6661">
      <w:pPr>
        <w:jc w:val="both"/>
      </w:pPr>
      <w:r w:rsidRPr="00AC6661">
        <w:t>The National Highway Traffic Safety Administration (NHTSA) launched the Automated Vehicle Transparency and Engagement for Safe Testing (AV TEST) initiative in 2020, requiring companies to voluntarily submit testing information. In 2025, USDOT unveiled a new automated vehicle framework with updated Standing General Orders for automated driving systems and advanced driver assistance systems.</w:t>
      </w:r>
    </w:p>
    <w:p w14:paraId="62482326" w14:textId="77777777" w:rsidR="00425F55" w:rsidRPr="00AC6661" w:rsidRDefault="00000000" w:rsidP="00AC6661">
      <w:pPr>
        <w:jc w:val="both"/>
      </w:pPr>
      <w:r w:rsidRPr="00AC6661">
        <w:t>Between June 2024 and March 2025, NHTSA data recorded 570 crashes involving automated driving systems in the United States. California reported the highest number at 761 incidents. In response, NHTSA has used its recall authority to require software updates, including a June 2024 voluntary update to Waymo's systems to address detection defects.</w:t>
      </w:r>
    </w:p>
    <w:p w14:paraId="0479451F" w14:textId="20AB1597" w:rsidR="00425F55" w:rsidRPr="00AC6661" w:rsidRDefault="00000000" w:rsidP="00AC6661">
      <w:pPr>
        <w:jc w:val="both"/>
      </w:pPr>
      <w:r w:rsidRPr="00AC6661">
        <w:t>States have enacted their own safety requirements. Florida's SB1580 requires licensed human operators in certain autonomous vehicles. The California Public Utilities Commission maintains authority over commercial autonomous vehicle taxi services, requiring permits before companies can offer rides to the public.</w:t>
      </w:r>
    </w:p>
    <w:p w14:paraId="3B5D6159" w14:textId="77777777" w:rsidR="00425F55" w:rsidRPr="00AC6661" w:rsidRDefault="00000000" w:rsidP="00AC6661">
      <w:pPr>
        <w:pStyle w:val="Heading1"/>
        <w:jc w:val="both"/>
        <w:rPr>
          <w:sz w:val="24"/>
          <w:szCs w:val="24"/>
        </w:rPr>
      </w:pPr>
      <w:r w:rsidRPr="00AC6661">
        <w:rPr>
          <w:sz w:val="24"/>
          <w:szCs w:val="24"/>
        </w:rPr>
        <w:t>Company Actions</w:t>
      </w:r>
    </w:p>
    <w:p w14:paraId="0AFFDD96" w14:textId="06B94917" w:rsidR="00425F55" w:rsidRPr="00AC6661" w:rsidRDefault="00000000" w:rsidP="00AC6661">
      <w:pPr>
        <w:jc w:val="both"/>
      </w:pPr>
      <w:r w:rsidRPr="00AC6661">
        <w:t>Autonomous vehicle companies are investing heavily in safety validation. Waymo conducts extensive simulation testing and has published safety reports demonstrating a 57% reduction in police-reported crashes compared to human drivers. Companies like Volvo have pledged to accept full liability for crashes occurring in autonomous mode, signaling confidence in their systems while protecting consumers.</w:t>
      </w:r>
      <w:r w:rsidR="00AC6661" w:rsidRPr="00AC6661">
        <w:t xml:space="preserve"> </w:t>
      </w:r>
      <w:r w:rsidRPr="00AC6661">
        <w:t>Healthcare AI developers are implementing human-in-the-loop models where AI recommendations require physician approval before action. Mayo Clinic's explainable diagnostics AI reduced physician override rates from 31% to 12% while improving diagnostic accuracy by 17%, demonstrating that error reduction is possible through proper implementation and transparency.</w:t>
      </w:r>
    </w:p>
    <w:p w14:paraId="14E473AD" w14:textId="77777777" w:rsidR="00425F55" w:rsidRPr="00AC6661" w:rsidRDefault="00000000" w:rsidP="00AC6661">
      <w:pPr>
        <w:pStyle w:val="Heading1"/>
        <w:jc w:val="both"/>
        <w:rPr>
          <w:sz w:val="24"/>
          <w:szCs w:val="24"/>
        </w:rPr>
      </w:pPr>
      <w:r w:rsidRPr="00AC6661">
        <w:rPr>
          <w:sz w:val="24"/>
          <w:szCs w:val="24"/>
        </w:rPr>
        <w:lastRenderedPageBreak/>
        <w:t>Challenge 3: Data Could Be Exposed</w:t>
      </w:r>
    </w:p>
    <w:p w14:paraId="1B365F75" w14:textId="77777777" w:rsidR="00425F55" w:rsidRPr="00AC6661" w:rsidRDefault="00000000" w:rsidP="00AC6661">
      <w:pPr>
        <w:jc w:val="both"/>
      </w:pPr>
      <w:r w:rsidRPr="00AC6661">
        <w:t>AI systems require massive amounts of data for training and operation, creating significant privacy and security risks. Medical diagnostic systems trained on sensitive patient information, financial AI processing personal banking data, and language models trained on private communications all present potential exposure risks. Data breaches, unauthorized access, and improper data sharing can have devastating consequences for individuals.</w:t>
      </w:r>
    </w:p>
    <w:p w14:paraId="0FF8DA68" w14:textId="77777777" w:rsidR="00425F55" w:rsidRPr="00AC6661" w:rsidRDefault="00000000" w:rsidP="00AC6661">
      <w:pPr>
        <w:pStyle w:val="Heading1"/>
        <w:jc w:val="both"/>
        <w:rPr>
          <w:sz w:val="24"/>
          <w:szCs w:val="24"/>
        </w:rPr>
      </w:pPr>
      <w:r w:rsidRPr="00AC6661">
        <w:rPr>
          <w:sz w:val="24"/>
          <w:szCs w:val="24"/>
        </w:rPr>
        <w:t>Government Actions</w:t>
      </w:r>
    </w:p>
    <w:p w14:paraId="58DF8585" w14:textId="5F602513" w:rsidR="00425F55" w:rsidRPr="00AC6661" w:rsidRDefault="00000000" w:rsidP="00AC6661">
      <w:pPr>
        <w:jc w:val="both"/>
      </w:pPr>
      <w:r w:rsidRPr="00AC6661">
        <w:t>The European Union's General Data Protection Regulation (GDPR) continues to serve as the global benchmark for AI data protection. In December 2024, Italy's data protection authority</w:t>
      </w:r>
      <w:r w:rsidR="00930AEC">
        <w:t xml:space="preserve"> </w:t>
      </w:r>
      <w:r w:rsidRPr="00AC6661">
        <w:t>imposed a €15 million fine on OpenAI for ChatGPT's data collection practices, demonstrating active enforcement. The European Data Protection Board released Opinion 28/2024 providing guidance on GDPR-compliant AI development.</w:t>
      </w:r>
    </w:p>
    <w:p w14:paraId="5F38B8B7" w14:textId="00CC821F" w:rsidR="00425F55" w:rsidRPr="00AC6661" w:rsidRDefault="00000000" w:rsidP="00AC6661">
      <w:pPr>
        <w:jc w:val="both"/>
      </w:pPr>
      <w:r w:rsidRPr="00AC6661">
        <w:t>In the United States, 2024 marked a record-breaking year for state privacy legislation, with nine new states enacting comprehensive data privacy laws, bringing the total to 21 states with active regulations. The California Consumer Privacy Act (CCPA/CPRA) specifically addresses automated decision-making, while Minnesota's Consumer Data Privacy Act</w:t>
      </w:r>
      <w:r w:rsidR="00913D1B">
        <w:t xml:space="preserve">, it is </w:t>
      </w:r>
      <w:r w:rsidRPr="00AC6661">
        <w:t>effective July 2025</w:t>
      </w:r>
      <w:r w:rsidR="00913D1B">
        <w:t>,</w:t>
      </w:r>
      <w:r w:rsidRPr="00AC6661">
        <w:t xml:space="preserve"> grants consumers the right to question profiling decisions and access the data used.</w:t>
      </w:r>
      <w:r w:rsidR="00AC6661" w:rsidRPr="00AC6661">
        <w:t xml:space="preserve"> </w:t>
      </w:r>
      <w:r w:rsidRPr="00AC6661">
        <w:t>The EU AI Act complements GDPR by requiring transparency when users interact with AI systems and mandating disclosure of AI-generated content. High-risk AI systems must maintain detailed data governance documentation and implement privacy-by-design principles from the earliest development stages.</w:t>
      </w:r>
    </w:p>
    <w:p w14:paraId="1E131FAC" w14:textId="77777777" w:rsidR="00425F55" w:rsidRPr="00AC6661" w:rsidRDefault="00000000" w:rsidP="00AC6661">
      <w:pPr>
        <w:pStyle w:val="Heading1"/>
        <w:jc w:val="both"/>
        <w:rPr>
          <w:sz w:val="24"/>
          <w:szCs w:val="24"/>
        </w:rPr>
      </w:pPr>
      <w:r w:rsidRPr="00AC6661">
        <w:rPr>
          <w:sz w:val="24"/>
          <w:szCs w:val="24"/>
        </w:rPr>
        <w:t>Company Actions</w:t>
      </w:r>
    </w:p>
    <w:p w14:paraId="5EB2BF22" w14:textId="678189C1" w:rsidR="00425F55" w:rsidRPr="00AC6661" w:rsidRDefault="00000000" w:rsidP="00AC6661">
      <w:pPr>
        <w:jc w:val="both"/>
      </w:pPr>
      <w:r w:rsidRPr="00AC6661">
        <w:t>Companies are implementing Privacy-Enhancing Technologies (PETs) including differential privacy, federated learning, and secure multi-party computation to minimize data exposure. Automobile manufacturers are promoting Data Remains In Car (DRIC) compliant approaches that process data locally rather than transmitting it to external servers.</w:t>
      </w:r>
    </w:p>
    <w:p w14:paraId="6D3086D9" w14:textId="72CEA5B7" w:rsidR="00425F55" w:rsidRDefault="00000000" w:rsidP="00AC6661">
      <w:pPr>
        <w:jc w:val="both"/>
      </w:pPr>
      <w:r w:rsidRPr="00AC6661">
        <w:t>Organizations are conducting mandatory Data Protection Impact Assessments (DPIAs) before deploying AI systems, as required by regulators. Third-party vendor compliance audits have become standard practice, with contracts including strong data protection clauses and breach notification mechanisms. Companies are also investing in employee training programs on data privacy and AI ethics.</w:t>
      </w:r>
    </w:p>
    <w:p w14:paraId="79B23248" w14:textId="77777777" w:rsidR="00425F55" w:rsidRPr="00AC6661" w:rsidRDefault="00000000" w:rsidP="00AC6661">
      <w:pPr>
        <w:pStyle w:val="Heading1"/>
        <w:jc w:val="both"/>
        <w:rPr>
          <w:sz w:val="24"/>
          <w:szCs w:val="24"/>
        </w:rPr>
      </w:pPr>
      <w:r w:rsidRPr="00AC6661">
        <w:rPr>
          <w:sz w:val="24"/>
          <w:szCs w:val="24"/>
        </w:rPr>
        <w:lastRenderedPageBreak/>
        <w:t>Challenge 4: Solutions May Not Work for Everyone</w:t>
      </w:r>
    </w:p>
    <w:p w14:paraId="443FF34F" w14:textId="77777777" w:rsidR="00425F55" w:rsidRPr="00AC6661" w:rsidRDefault="00000000" w:rsidP="00AC6661">
      <w:pPr>
        <w:jc w:val="both"/>
      </w:pPr>
      <w:r w:rsidRPr="00AC6661">
        <w:t>AI solutions often fail to accommodate the diverse needs of all users. A home automation assistant without audio output excludes visually impaired users; speech recognition trained primarily on standard accents fails for users with accents or speech differences; and complex interfaces may be inaccessible to users with cognitive disabilities. This digital exclusion prevents approximately 1.3 billion people globally from fully participating in the digital economy.</w:t>
      </w:r>
    </w:p>
    <w:p w14:paraId="646600FA" w14:textId="77777777" w:rsidR="00425F55" w:rsidRPr="00AC6661" w:rsidRDefault="00000000" w:rsidP="00AC6661">
      <w:pPr>
        <w:pStyle w:val="Heading1"/>
        <w:jc w:val="both"/>
        <w:rPr>
          <w:sz w:val="24"/>
          <w:szCs w:val="24"/>
        </w:rPr>
      </w:pPr>
      <w:r w:rsidRPr="00AC6661">
        <w:rPr>
          <w:sz w:val="24"/>
          <w:szCs w:val="24"/>
        </w:rPr>
        <w:t>Government Actions</w:t>
      </w:r>
    </w:p>
    <w:p w14:paraId="38406A83" w14:textId="77777777" w:rsidR="00425F55" w:rsidRPr="00AC6661" w:rsidRDefault="00000000" w:rsidP="00AC6661">
      <w:pPr>
        <w:jc w:val="both"/>
      </w:pPr>
      <w:r w:rsidRPr="00AC6661">
        <w:t>In April 2024, the U.S. Department of Justice finalized new digital accessibility rules under Title II of the Americans with Disabilities Act, requiring all state and local government websites and applications to meet WCAG 2.1 Level AA accessibility standards. Public institutions face a compliance deadline of April 24, 2026.</w:t>
      </w:r>
    </w:p>
    <w:p w14:paraId="13DC5AD9" w14:textId="03C41953" w:rsidR="00425F55" w:rsidRPr="00AC6661" w:rsidRDefault="00000000" w:rsidP="00AC6661">
      <w:pPr>
        <w:jc w:val="both"/>
      </w:pPr>
      <w:r w:rsidRPr="00AC6661">
        <w:t>The European Accessibility Act (EAA), coming into full effect in June 2025, requires companies offering digital products and services to align with the EN 301 549 standard. This covers websites, mobile applications, e-commerce platforms, and products with digital interfaces. Non-compliance results in restricted market access and potential legal penalties across all 27 EU member states.</w:t>
      </w:r>
      <w:r w:rsidR="00AC6661">
        <w:t xml:space="preserve"> </w:t>
      </w:r>
      <w:r w:rsidRPr="00AC6661">
        <w:t>WCAG 3.0 development continues with a focus on holistic accessibility that extends beyond web content to encompass entire digital experiences. The new framework prioritizes human needs and provides more accurate individual adaptation compared to the binary pass/fail methodology of WCAG 2.0.</w:t>
      </w:r>
    </w:p>
    <w:p w14:paraId="0795ECDC" w14:textId="77777777" w:rsidR="00425F55" w:rsidRPr="00AC6661" w:rsidRDefault="00000000" w:rsidP="00AC6661">
      <w:pPr>
        <w:pStyle w:val="Heading1"/>
        <w:jc w:val="both"/>
        <w:rPr>
          <w:sz w:val="24"/>
          <w:szCs w:val="24"/>
        </w:rPr>
      </w:pPr>
      <w:r w:rsidRPr="00AC6661">
        <w:rPr>
          <w:sz w:val="24"/>
          <w:szCs w:val="24"/>
        </w:rPr>
        <w:t>Company Actions</w:t>
      </w:r>
    </w:p>
    <w:p w14:paraId="1DAC65FA" w14:textId="77777777" w:rsidR="00425F55" w:rsidRPr="00AC6661" w:rsidRDefault="00000000" w:rsidP="00AC6661">
      <w:pPr>
        <w:jc w:val="both"/>
      </w:pPr>
      <w:r w:rsidRPr="00AC6661">
        <w:t>Technology companies are developing AI-powered accessibility tools at an unprecedented pace. Google's Live Caption provides instant captioning for any audio or video without internet connection, while Live Transcribe converts in-person conversations into live text. Microsoft's Azure Cognitive Services offers real-time captioning for meetings and video content.</w:t>
      </w:r>
    </w:p>
    <w:p w14:paraId="5E682E09" w14:textId="150C2A05" w:rsidR="00425F55" w:rsidRDefault="00000000" w:rsidP="00AC6661">
      <w:pPr>
        <w:jc w:val="both"/>
      </w:pPr>
      <w:r w:rsidRPr="00AC6661">
        <w:t xml:space="preserve">Companies like Salesforce have adopted a "shift left" design philosophy, integrating accessibility from the earliest stages of development rather than as an afterthought. </w:t>
      </w:r>
      <w:proofErr w:type="spellStart"/>
      <w:r w:rsidRPr="00AC6661">
        <w:t>Cephable</w:t>
      </w:r>
      <w:proofErr w:type="spellEnd"/>
      <w:r w:rsidRPr="00AC6661">
        <w:t xml:space="preserve"> has developed alternative computer input methods using speech recognition, facial expression tracking, and head movement controls that adapt to users rather than forcing users to adapt. Airports including Denver International now offer free AI-powered visual interpreting services (Aira) to assist travelers with visual impairments.</w:t>
      </w:r>
      <w:r>
        <w:br w:type="page"/>
      </w:r>
    </w:p>
    <w:p w14:paraId="5DBAFCE3" w14:textId="77777777" w:rsidR="00425F55" w:rsidRPr="00AC6661" w:rsidRDefault="00000000" w:rsidP="00AC6661">
      <w:pPr>
        <w:pStyle w:val="Heading1"/>
        <w:jc w:val="both"/>
        <w:rPr>
          <w:sz w:val="24"/>
          <w:szCs w:val="24"/>
        </w:rPr>
      </w:pPr>
      <w:r w:rsidRPr="00AC6661">
        <w:rPr>
          <w:sz w:val="24"/>
          <w:szCs w:val="24"/>
        </w:rPr>
        <w:lastRenderedPageBreak/>
        <w:t>Challenge 5: Users Must Trust a Complex System</w:t>
      </w:r>
    </w:p>
    <w:p w14:paraId="698486B3" w14:textId="77777777" w:rsidR="00425F55" w:rsidRPr="00AC6661" w:rsidRDefault="00000000" w:rsidP="00AC6661">
      <w:pPr>
        <w:jc w:val="both"/>
      </w:pPr>
      <w:r w:rsidRPr="00AC6661">
        <w:t>AI systems often operate as "black boxes" where users cannot understand how decisions are made. When an AI-based financial tool recommends investments or a hiring algorithm ranks candidates, users have no insight into the underlying reasoning. This opacity creates distrust, limits adoption, and makes it difficult to identify and correct errors. Stanford's 2023 AI Index Report found that over 65% of organizations cited lack of explainability as the primary barrier to AI adoption.</w:t>
      </w:r>
    </w:p>
    <w:p w14:paraId="1C3072FF" w14:textId="77777777" w:rsidR="00425F55" w:rsidRPr="00AC6661" w:rsidRDefault="00000000" w:rsidP="00AC6661">
      <w:pPr>
        <w:pStyle w:val="Heading1"/>
        <w:jc w:val="both"/>
        <w:rPr>
          <w:sz w:val="24"/>
          <w:szCs w:val="24"/>
        </w:rPr>
      </w:pPr>
      <w:r w:rsidRPr="00AC6661">
        <w:rPr>
          <w:sz w:val="24"/>
          <w:szCs w:val="24"/>
        </w:rPr>
        <w:t>Government Actions</w:t>
      </w:r>
    </w:p>
    <w:p w14:paraId="0114FBFA" w14:textId="0B3AF2E1" w:rsidR="00425F55" w:rsidRPr="00AC6661" w:rsidRDefault="00000000" w:rsidP="00AC6661">
      <w:pPr>
        <w:jc w:val="both"/>
      </w:pPr>
      <w:r w:rsidRPr="00AC6661">
        <w:t>The EU AI Act imposes specific transparency requirements based on risk classification. High-risk AI systems, such as those used in recruitment and credit scoring, must provide information about capabilities, limitations, data lineage, and decision-making logic. Non-compliance penalties can reach €35 million or 7% of global turnover, creating strong incentives for transparency.</w:t>
      </w:r>
      <w:r w:rsidR="00AC6661">
        <w:t xml:space="preserve"> </w:t>
      </w:r>
      <w:r w:rsidRPr="00AC6661">
        <w:t>The U.S. Financial Stability Oversight Council elevated AI as a significant focus area in its December 2024 Annual Report, identifying the need for enhanced oversight of AI in financial services. Regulators are moving toward a "sliding scale" approach where scrutiny correlates with the risk and potential impact of each AI use case.</w:t>
      </w:r>
    </w:p>
    <w:p w14:paraId="1D13533B" w14:textId="77777777" w:rsidR="00425F55" w:rsidRPr="00AC6661" w:rsidRDefault="00000000" w:rsidP="00AC6661">
      <w:pPr>
        <w:jc w:val="both"/>
      </w:pPr>
      <w:r w:rsidRPr="00AC6661">
        <w:t>Multiple regulatory bodies have developed explainability frameworks. NIST's AI Risk Management Framework provides guidelines for addressing transparency risks, while DARPA's Explainable AI (XAI) program has produced comprehensive toolkits for interpreting AI models. IBM released the AI Explainability 360 toolkit to help organizations meet transparency requirements.</w:t>
      </w:r>
    </w:p>
    <w:p w14:paraId="096CB4C3" w14:textId="77777777" w:rsidR="00425F55" w:rsidRPr="00AC6661" w:rsidRDefault="00000000" w:rsidP="00AC6661">
      <w:pPr>
        <w:pStyle w:val="Heading1"/>
        <w:jc w:val="both"/>
        <w:rPr>
          <w:sz w:val="24"/>
          <w:szCs w:val="24"/>
        </w:rPr>
      </w:pPr>
      <w:r w:rsidRPr="00AC6661">
        <w:rPr>
          <w:sz w:val="24"/>
          <w:szCs w:val="24"/>
        </w:rPr>
        <w:t>Company Actions</w:t>
      </w:r>
    </w:p>
    <w:p w14:paraId="1BE22313" w14:textId="64F0B7E3" w:rsidR="00425F55" w:rsidRDefault="00000000" w:rsidP="00AC6661">
      <w:pPr>
        <w:jc w:val="both"/>
      </w:pPr>
      <w:r w:rsidRPr="00AC6661">
        <w:t xml:space="preserve">Companies are implementing Explainable AI (XAI) techniques including LIME </w:t>
      </w:r>
      <w:r w:rsidR="00AC6661">
        <w:t xml:space="preserve">such as </w:t>
      </w:r>
      <w:r w:rsidRPr="00AC6661">
        <w:t>Local Interpretable Model-Agnostic Explanations and SHAP to make decisions transparent. Bank of America found that explaining AI-driven investment recommendations increased customer acceptance by 41% and boosted portfolio adjustments by 28%.</w:t>
      </w:r>
      <w:r w:rsidR="00AC6661">
        <w:t xml:space="preserve"> </w:t>
      </w:r>
      <w:r w:rsidRPr="00AC6661">
        <w:t>Spotify's explainable recommendation engine has driven a 23% increase in user engagement since implementing transparent AI systems. Organizations with mature XAI practices achieve 25% higher AI-driven revenue growth and 34% greater cost reductions than industry peers, according to McKinsey's 2024 State of AI report. Companies are recognizing that transparency is not just compliance but a competitive advantage that builds user trust and accelerates adoption.</w:t>
      </w:r>
    </w:p>
    <w:p w14:paraId="4D685C11" w14:textId="77777777" w:rsidR="00425F55" w:rsidRPr="00AC6661" w:rsidRDefault="00000000" w:rsidP="00913D1B">
      <w:pPr>
        <w:pStyle w:val="Heading1"/>
        <w:jc w:val="both"/>
        <w:rPr>
          <w:sz w:val="24"/>
          <w:szCs w:val="24"/>
        </w:rPr>
      </w:pPr>
      <w:r w:rsidRPr="00AC6661">
        <w:rPr>
          <w:sz w:val="24"/>
          <w:szCs w:val="24"/>
        </w:rPr>
        <w:lastRenderedPageBreak/>
        <w:t>Challenge 6: Who's Liable for AI-Driven Decisions?</w:t>
      </w:r>
    </w:p>
    <w:p w14:paraId="37A0D74C" w14:textId="6FFF133C" w:rsidR="00425F55" w:rsidRPr="00AC6661" w:rsidRDefault="00000000" w:rsidP="00913D1B">
      <w:pPr>
        <w:jc w:val="both"/>
      </w:pPr>
      <w:r w:rsidRPr="00AC6661">
        <w:t>When AI systems cause harm, determining legal responsibility is complex. If facial recognition wrongly identifies someone as a criminal, who bears responsibility</w:t>
      </w:r>
      <w:r w:rsidR="00AC6661">
        <w:t xml:space="preserve"> </w:t>
      </w:r>
      <w:r w:rsidRPr="00AC6661">
        <w:t>the developer who trained the algorithm, the company that deployed it, or the government agency that acted on it</w:t>
      </w:r>
      <w:r w:rsidR="00AC6661">
        <w:t xml:space="preserve">. </w:t>
      </w:r>
      <w:r w:rsidRPr="00AC6661">
        <w:t>Traditional liability frameworks were designed for human decision-makers, not autonomous systems that involve multiple stakeholders across the development and deployment chain.</w:t>
      </w:r>
    </w:p>
    <w:p w14:paraId="30705BF9" w14:textId="77777777" w:rsidR="00425F55" w:rsidRPr="00AC6661" w:rsidRDefault="00000000" w:rsidP="00913D1B">
      <w:pPr>
        <w:pStyle w:val="Heading1"/>
        <w:jc w:val="both"/>
        <w:rPr>
          <w:sz w:val="24"/>
          <w:szCs w:val="24"/>
        </w:rPr>
      </w:pPr>
      <w:r w:rsidRPr="00AC6661">
        <w:rPr>
          <w:sz w:val="24"/>
          <w:szCs w:val="24"/>
        </w:rPr>
        <w:t>Government Actions</w:t>
      </w:r>
    </w:p>
    <w:p w14:paraId="73448760" w14:textId="3EDAEDEE" w:rsidR="00425F55" w:rsidRPr="00AC6661" w:rsidRDefault="00000000" w:rsidP="00913D1B">
      <w:pPr>
        <w:jc w:val="both"/>
      </w:pPr>
      <w:r w:rsidRPr="00AC6661">
        <w:t>The European Union has introduced comprehensive liability frameworks to complement the AI Act. The Revised Product Liability Directive, adopted in March 2024, explicitly includes software and AI systems as products</w:t>
      </w:r>
      <w:r w:rsidR="00913D1B">
        <w:t xml:space="preserve"> </w:t>
      </w:r>
      <w:r w:rsidRPr="00AC6661">
        <w:t>that can be held liable for defects. Manufacturers can now be accountable for failures to supply security updates or for cybersecurity vulnerabilities exploited by third parties.</w:t>
      </w:r>
      <w:r w:rsidR="00AC6661">
        <w:t xml:space="preserve"> </w:t>
      </w:r>
      <w:r w:rsidR="00913D1B">
        <w:t xml:space="preserve"> </w:t>
      </w:r>
      <w:r w:rsidRPr="00AC6661">
        <w:t>The proposed AI Liability Directive implements two key tools: a disclosure obligation requiring AI providers to share information with injured parties, and a presumption of causality in certain circumstances to ease the burden of proof for claimants. The framework recognizes deployers as potential defendants, ensuring that all parties responsible for AI system operation maintain rigorous quality control.</w:t>
      </w:r>
      <w:r w:rsidR="00913D1B">
        <w:t xml:space="preserve"> </w:t>
      </w:r>
      <w:r w:rsidRPr="00AC6661">
        <w:t>At the U.S. state level, Utah's HB 452 (2025) allows affirmative defense if providers maintain certain AI governance measures. California's proposed SB 813 would allow developers to use certified third-party audits as defense in civil lawsuits. Texas amended its biometric privacy law (TRAIGA) to explicitly account for AI training activities.</w:t>
      </w:r>
    </w:p>
    <w:p w14:paraId="270A53EE" w14:textId="77777777" w:rsidR="00425F55" w:rsidRPr="00AC6661" w:rsidRDefault="00000000" w:rsidP="00913D1B">
      <w:pPr>
        <w:pStyle w:val="Heading1"/>
        <w:jc w:val="both"/>
        <w:rPr>
          <w:sz w:val="24"/>
          <w:szCs w:val="24"/>
        </w:rPr>
      </w:pPr>
      <w:r w:rsidRPr="00AC6661">
        <w:rPr>
          <w:sz w:val="24"/>
          <w:szCs w:val="24"/>
        </w:rPr>
        <w:t>Company Actions</w:t>
      </w:r>
    </w:p>
    <w:p w14:paraId="47607F02" w14:textId="6FE68E87" w:rsidR="00425F55" w:rsidRDefault="00000000" w:rsidP="00913D1B">
      <w:pPr>
        <w:jc w:val="both"/>
      </w:pPr>
      <w:r w:rsidRPr="00AC6661">
        <w:t>Companies are proactively addressing liability through contractual mechanisms and governance frameworks. AI vendors now include detailed indemnity provisions, warranty clauses, and liability cap carveouts in their contracts. Organizations are implementing robust AI compliance frameworks that document data sources, model development decisions, and validation processes to demonstrate due diligence.</w:t>
      </w:r>
      <w:r w:rsidR="00913D1B">
        <w:t xml:space="preserve"> </w:t>
      </w:r>
      <w:r w:rsidRPr="00AC6661">
        <w:t>Insurance models are evolving to address AI-specific risks, with some manufacturers accepting full product liability for autonomous systems. Companies are integrating AI ethics oversight into corporate governance structures, establishing clear accountability chains that delineate responsibilities across developers, deployers, and operators. Regular third-party audits have become standard practice for high-risk AI applications, providing documented evidence of responsible development and deployment practices.</w:t>
      </w:r>
      <w:r>
        <w:br w:type="page"/>
      </w:r>
    </w:p>
    <w:p w14:paraId="5BF53DA7" w14:textId="77777777" w:rsidR="00425F55" w:rsidRDefault="00000000" w:rsidP="00913D1B">
      <w:pPr>
        <w:pStyle w:val="Heading1"/>
        <w:spacing w:line="276" w:lineRule="auto"/>
      </w:pPr>
      <w:r>
        <w:lastRenderedPageBreak/>
        <w:t>References</w:t>
      </w:r>
    </w:p>
    <w:p w14:paraId="6A4B05E8" w14:textId="6CCA4EF6" w:rsidR="00425F55" w:rsidRDefault="00913D1B" w:rsidP="00913D1B">
      <w:pPr>
        <w:spacing w:after="200" w:line="276" w:lineRule="auto"/>
      </w:pPr>
      <w:r>
        <w:t xml:space="preserve">1. Alvarez &amp; Marsal. (2025). AI Litigation, Enforcement, and Compliance Risk: Q4 2025 Regulatory Update. Retrieved from </w:t>
      </w:r>
      <w:r w:rsidRPr="00913D1B">
        <w:rPr>
          <w:color w:val="0000FF"/>
          <w:u w:val="single"/>
        </w:rPr>
        <w:t>https://www.alvarezandmarsal.com/</w:t>
      </w:r>
    </w:p>
    <w:p w14:paraId="5B2E981B" w14:textId="308A1C70" w:rsidR="00425F55" w:rsidRDefault="00913D1B" w:rsidP="00913D1B">
      <w:pPr>
        <w:spacing w:after="200" w:line="276" w:lineRule="auto"/>
      </w:pPr>
      <w:r>
        <w:t>2. American Bar Association. (2024). Regulation by the EEOC and the States of Algorithmic Bias in High-Risk Use Cases. Business Lawyer, 2024-2025 Winter.</w:t>
      </w:r>
    </w:p>
    <w:p w14:paraId="258E2332" w14:textId="1AE449D8" w:rsidR="00425F55" w:rsidRDefault="00913D1B" w:rsidP="00913D1B">
      <w:pPr>
        <w:spacing w:after="200" w:line="276" w:lineRule="auto"/>
      </w:pPr>
      <w:r>
        <w:t xml:space="preserve">3. Brookings Institution. (2024, July 31). The evolving safety and policy challenges of self-driving cars. Retrieved from </w:t>
      </w:r>
      <w:r w:rsidRPr="00913D1B">
        <w:rPr>
          <w:color w:val="0000FF"/>
          <w:u w:val="single"/>
        </w:rPr>
        <w:t>https://www.brookings.edu/</w:t>
      </w:r>
    </w:p>
    <w:p w14:paraId="58E8F168" w14:textId="6EB94FC3" w:rsidR="00425F55" w:rsidRDefault="00913D1B" w:rsidP="00913D1B">
      <w:pPr>
        <w:spacing w:after="200" w:line="276" w:lineRule="auto"/>
      </w:pPr>
      <w:r>
        <w:t xml:space="preserve">4. Center for People </w:t>
      </w:r>
      <w:proofErr w:type="gramStart"/>
      <w:r>
        <w:t>With</w:t>
      </w:r>
      <w:proofErr w:type="gramEnd"/>
      <w:r>
        <w:t xml:space="preserve"> Disabilities. (2025). How AI Is Changing Accessibility: Progress, Challenges, and the Path Ahead. Retrieved from </w:t>
      </w:r>
      <w:r w:rsidRPr="00913D1B">
        <w:rPr>
          <w:color w:val="0000FF"/>
          <w:u w:val="single"/>
        </w:rPr>
        <w:t>https://www.cpwd.org/</w:t>
      </w:r>
    </w:p>
    <w:p w14:paraId="7B81FE1E" w14:textId="578B8201" w:rsidR="00425F55" w:rsidRDefault="00913D1B" w:rsidP="00913D1B">
      <w:pPr>
        <w:spacing w:after="200" w:line="276" w:lineRule="auto"/>
      </w:pPr>
      <w:r>
        <w:t xml:space="preserve">5. </w:t>
      </w:r>
      <w:proofErr w:type="spellStart"/>
      <w:r>
        <w:t>Cimplifi</w:t>
      </w:r>
      <w:proofErr w:type="spellEnd"/>
      <w:r>
        <w:t xml:space="preserve">. (2025, April 30). The Updated State of AI Regulations for 2025. Retrieved from </w:t>
      </w:r>
      <w:r w:rsidRPr="00913D1B">
        <w:rPr>
          <w:color w:val="0000FF"/>
          <w:u w:val="single"/>
        </w:rPr>
        <w:t>https://www.cimplifi.com/</w:t>
      </w:r>
    </w:p>
    <w:p w14:paraId="44FEAED9" w14:textId="3A448C73" w:rsidR="00425F55" w:rsidRDefault="00913D1B" w:rsidP="00913D1B">
      <w:pPr>
        <w:spacing w:after="200" w:line="276" w:lineRule="auto"/>
      </w:pPr>
      <w:r>
        <w:t xml:space="preserve">6. Clifford Chance. (2025, January). The EU Introduces New Rules on AI Liability. Retrieved from </w:t>
      </w:r>
      <w:r w:rsidRPr="00913D1B">
        <w:rPr>
          <w:color w:val="0000FF"/>
          <w:u w:val="single"/>
        </w:rPr>
        <w:t>https://www.cliffordchance.com/</w:t>
      </w:r>
    </w:p>
    <w:p w14:paraId="79868EAC" w14:textId="1C2E1EB5" w:rsidR="00425F55" w:rsidRDefault="00913D1B" w:rsidP="00913D1B">
      <w:pPr>
        <w:spacing w:after="200" w:line="276" w:lineRule="auto"/>
      </w:pPr>
      <w:r>
        <w:t xml:space="preserve">7. Cloud Security Alliance. (2025). AI and Privacy: Shifting from 2024 to 2025. Retrieved from </w:t>
      </w:r>
      <w:r w:rsidRPr="00913D1B">
        <w:rPr>
          <w:color w:val="0000FF"/>
          <w:u w:val="single"/>
        </w:rPr>
        <w:t>https://cloudsecurityalliance.org/</w:t>
      </w:r>
    </w:p>
    <w:p w14:paraId="3A1C6681" w14:textId="580ABF81" w:rsidR="00425F55" w:rsidRDefault="00913D1B" w:rsidP="00913D1B">
      <w:pPr>
        <w:spacing w:after="200" w:line="276" w:lineRule="auto"/>
      </w:pPr>
      <w:r>
        <w:t>8. European Commission. (2024). Artificial Intelligence Act, Regulation (EU) 2024/1689. Official Journal of the European Union.</w:t>
      </w:r>
    </w:p>
    <w:p w14:paraId="6E952CD1" w14:textId="12342FA4" w:rsidR="00425F55" w:rsidRDefault="00913D1B" w:rsidP="00913D1B">
      <w:pPr>
        <w:spacing w:after="200" w:line="276" w:lineRule="auto"/>
      </w:pPr>
      <w:r>
        <w:t>9. Financial Stability Oversight Council. (2024, December). Annual Report 2024. U.S. Department of the Treasury.</w:t>
      </w:r>
    </w:p>
    <w:p w14:paraId="6BE5327A" w14:textId="48F06214" w:rsidR="00425F55" w:rsidRDefault="00913D1B" w:rsidP="00913D1B">
      <w:pPr>
        <w:spacing w:after="200" w:line="276" w:lineRule="auto"/>
      </w:pPr>
      <w:r>
        <w:t xml:space="preserve">10. Future of Privacy Forum. (2025). The State of State AI: Legislative Approaches to AI in 2025. Retrieved from </w:t>
      </w:r>
      <w:r w:rsidRPr="00913D1B">
        <w:rPr>
          <w:color w:val="0000FF"/>
          <w:u w:val="single"/>
        </w:rPr>
        <w:t>https://fpf.org/</w:t>
      </w:r>
    </w:p>
    <w:p w14:paraId="52CE6988" w14:textId="4A0768F4" w:rsidR="00425F55" w:rsidRDefault="00913D1B" w:rsidP="00913D1B">
      <w:pPr>
        <w:spacing w:after="200" w:line="276" w:lineRule="auto"/>
      </w:pPr>
      <w:r>
        <w:t xml:space="preserve">11. IBM. (2025). What Is AI Transparency? A Comprehensive Guide. Retrieved from </w:t>
      </w:r>
      <w:r w:rsidRPr="00913D1B">
        <w:rPr>
          <w:color w:val="0000FF"/>
          <w:u w:val="single"/>
        </w:rPr>
        <w:t>https://www.ibm.com/</w:t>
      </w:r>
    </w:p>
    <w:p w14:paraId="53B35FF2" w14:textId="1DDD73B1" w:rsidR="00425F55" w:rsidRDefault="00913D1B" w:rsidP="00913D1B">
      <w:pPr>
        <w:spacing w:after="200" w:line="276" w:lineRule="auto"/>
      </w:pPr>
      <w:r>
        <w:t xml:space="preserve">12. McKinsey &amp; Company. (2024, November). Building Trust in AI: The Key Role of Explainability. Retrieved from </w:t>
      </w:r>
      <w:r w:rsidRPr="00913D1B">
        <w:rPr>
          <w:color w:val="0000FF"/>
          <w:u w:val="single"/>
        </w:rPr>
        <w:t>https://www.mckinsey.com/</w:t>
      </w:r>
    </w:p>
    <w:p w14:paraId="2374A314" w14:textId="35D08CA2" w:rsidR="00425F55" w:rsidRDefault="00913D1B" w:rsidP="00913D1B">
      <w:pPr>
        <w:spacing w:after="200" w:line="276" w:lineRule="auto"/>
      </w:pPr>
      <w:r>
        <w:t xml:space="preserve">13. National Highway Traffic Safety Administration. (2025). Automated Vehicles for Safety. Retrieved from </w:t>
      </w:r>
      <w:r w:rsidRPr="00913D1B">
        <w:rPr>
          <w:color w:val="0000FF"/>
          <w:u w:val="single"/>
        </w:rPr>
        <w:t>https://www.nhtsa.gov/</w:t>
      </w:r>
    </w:p>
    <w:p w14:paraId="4CA0F9C7" w14:textId="09AAFD83" w:rsidR="00425F55" w:rsidRDefault="00913D1B" w:rsidP="00913D1B">
      <w:pPr>
        <w:spacing w:after="200" w:line="276" w:lineRule="auto"/>
      </w:pPr>
      <w:r>
        <w:t xml:space="preserve">14. Norton Rose Fulbright. (2024). Artificial Intelligence and Liability: Key Takeaways from Recent EU Legislative Initiatives. Retrieved from </w:t>
      </w:r>
      <w:r w:rsidRPr="00913D1B">
        <w:rPr>
          <w:color w:val="0000FF"/>
          <w:u w:val="single"/>
        </w:rPr>
        <w:t>https://www.nortonrosefulbright.com/</w:t>
      </w:r>
    </w:p>
    <w:p w14:paraId="569B1405" w14:textId="22DCB62C" w:rsidR="00425F55" w:rsidRDefault="00913D1B" w:rsidP="00913D1B">
      <w:pPr>
        <w:spacing w:after="200" w:line="276" w:lineRule="auto"/>
      </w:pPr>
      <w:r>
        <w:t xml:space="preserve">15. U.S. Senator Ed Markey. (2024, June). Markey Introduces the AI Civil Rights Act [Press Release]. Retrieved from </w:t>
      </w:r>
      <w:r w:rsidRPr="00913D1B">
        <w:rPr>
          <w:color w:val="0000FF"/>
          <w:u w:val="single"/>
        </w:rPr>
        <w:t>https://www.markey.senate.gov/</w:t>
      </w:r>
    </w:p>
    <w:p w14:paraId="165BDDA9" w14:textId="497AFB17" w:rsidR="00425F55" w:rsidRDefault="00913D1B" w:rsidP="00913D1B">
      <w:pPr>
        <w:spacing w:after="200" w:line="276" w:lineRule="auto"/>
      </w:pPr>
      <w:r>
        <w:t xml:space="preserve">16. White &amp; Case LLP. (2025). AI Watch: Global Regulatory Tracker - United States. Retrieved from </w:t>
      </w:r>
      <w:r w:rsidRPr="00913D1B">
        <w:rPr>
          <w:color w:val="0000FF"/>
          <w:u w:val="single"/>
        </w:rPr>
        <w:t>https://www.whitecase.com/</w:t>
      </w:r>
    </w:p>
    <w:sectPr w:rsidR="00425F5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C212" w14:textId="77777777" w:rsidR="00D04C57" w:rsidRDefault="00D04C57">
      <w:pPr>
        <w:spacing w:after="0" w:line="240" w:lineRule="auto"/>
      </w:pPr>
      <w:r>
        <w:separator/>
      </w:r>
    </w:p>
  </w:endnote>
  <w:endnote w:type="continuationSeparator" w:id="0">
    <w:p w14:paraId="3B1CAD4F" w14:textId="77777777" w:rsidR="00D04C57" w:rsidRDefault="00D04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1C00" w14:textId="77777777" w:rsidR="00425F5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C6661">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C666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0AC7E" w14:textId="77777777" w:rsidR="00D04C57" w:rsidRDefault="00D04C57">
      <w:pPr>
        <w:spacing w:after="0" w:line="240" w:lineRule="auto"/>
      </w:pPr>
      <w:r>
        <w:separator/>
      </w:r>
    </w:p>
  </w:footnote>
  <w:footnote w:type="continuationSeparator" w:id="0">
    <w:p w14:paraId="13BC2410" w14:textId="77777777" w:rsidR="00D04C57" w:rsidRDefault="00D04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ACBD" w14:textId="4E0C8D4F" w:rsidR="00425F55" w:rsidRDefault="00425F5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1FE8"/>
    <w:multiLevelType w:val="hybridMultilevel"/>
    <w:tmpl w:val="11D45B34"/>
    <w:lvl w:ilvl="0" w:tplc="3EA21874">
      <w:start w:val="1"/>
      <w:numFmt w:val="bullet"/>
      <w:lvlText w:val="●"/>
      <w:lvlJc w:val="left"/>
      <w:pPr>
        <w:ind w:left="720" w:hanging="360"/>
      </w:pPr>
    </w:lvl>
    <w:lvl w:ilvl="1" w:tplc="7B5C1E0C">
      <w:start w:val="1"/>
      <w:numFmt w:val="bullet"/>
      <w:lvlText w:val="○"/>
      <w:lvlJc w:val="left"/>
      <w:pPr>
        <w:ind w:left="1440" w:hanging="360"/>
      </w:pPr>
    </w:lvl>
    <w:lvl w:ilvl="2" w:tplc="1F009054">
      <w:start w:val="1"/>
      <w:numFmt w:val="bullet"/>
      <w:lvlText w:val="■"/>
      <w:lvlJc w:val="left"/>
      <w:pPr>
        <w:ind w:left="2160" w:hanging="360"/>
      </w:pPr>
    </w:lvl>
    <w:lvl w:ilvl="3" w:tplc="6C8EEDE4">
      <w:start w:val="1"/>
      <w:numFmt w:val="bullet"/>
      <w:lvlText w:val="●"/>
      <w:lvlJc w:val="left"/>
      <w:pPr>
        <w:ind w:left="2880" w:hanging="360"/>
      </w:pPr>
    </w:lvl>
    <w:lvl w:ilvl="4" w:tplc="C13A49D8">
      <w:start w:val="1"/>
      <w:numFmt w:val="bullet"/>
      <w:lvlText w:val="○"/>
      <w:lvlJc w:val="left"/>
      <w:pPr>
        <w:ind w:left="3600" w:hanging="360"/>
      </w:pPr>
    </w:lvl>
    <w:lvl w:ilvl="5" w:tplc="788859BA">
      <w:start w:val="1"/>
      <w:numFmt w:val="bullet"/>
      <w:lvlText w:val="■"/>
      <w:lvlJc w:val="left"/>
      <w:pPr>
        <w:ind w:left="4320" w:hanging="360"/>
      </w:pPr>
    </w:lvl>
    <w:lvl w:ilvl="6" w:tplc="CF8CC8D4">
      <w:start w:val="1"/>
      <w:numFmt w:val="bullet"/>
      <w:lvlText w:val="●"/>
      <w:lvlJc w:val="left"/>
      <w:pPr>
        <w:ind w:left="5040" w:hanging="360"/>
      </w:pPr>
    </w:lvl>
    <w:lvl w:ilvl="7" w:tplc="FCA850CC">
      <w:start w:val="1"/>
      <w:numFmt w:val="bullet"/>
      <w:lvlText w:val="●"/>
      <w:lvlJc w:val="left"/>
      <w:pPr>
        <w:ind w:left="5760" w:hanging="360"/>
      </w:pPr>
    </w:lvl>
    <w:lvl w:ilvl="8" w:tplc="F78C37F6">
      <w:start w:val="1"/>
      <w:numFmt w:val="bullet"/>
      <w:lvlText w:val="●"/>
      <w:lvlJc w:val="left"/>
      <w:pPr>
        <w:ind w:left="6480" w:hanging="360"/>
      </w:pPr>
    </w:lvl>
  </w:abstractNum>
  <w:num w:numId="1" w16cid:durableId="1506742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F55"/>
    <w:rsid w:val="00425F55"/>
    <w:rsid w:val="0070125D"/>
    <w:rsid w:val="00913D1B"/>
    <w:rsid w:val="00930AEC"/>
    <w:rsid w:val="009A45A8"/>
    <w:rsid w:val="00AC6661"/>
    <w:rsid w:val="00D04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E367"/>
  <w15:docId w15:val="{6A311D7E-93FD-43EA-8CFE-46E2417C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style>
  <w:style w:type="paragraph" w:styleId="Heading1">
    <w:name w:val="heading 1"/>
    <w:basedOn w:val="Normal"/>
    <w:next w:val="Normal"/>
    <w:uiPriority w:val="9"/>
    <w:qFormat/>
    <w:pPr>
      <w:spacing w:before="240"/>
      <w:outlineLvl w:val="0"/>
    </w:pPr>
    <w:rPr>
      <w:b/>
      <w:bCs/>
      <w:color w:val="000000"/>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bCs/>
      <w:color w:val="000000"/>
      <w:sz w:val="36"/>
      <w:szCs w:val="3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C6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661"/>
  </w:style>
  <w:style w:type="paragraph" w:styleId="Footer">
    <w:name w:val="footer"/>
    <w:basedOn w:val="Normal"/>
    <w:link w:val="FooterChar"/>
    <w:uiPriority w:val="99"/>
    <w:unhideWhenUsed/>
    <w:rsid w:val="00AC6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2480</Words>
  <Characters>14137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AZIZUL RAHAMAN</cp:lastModifiedBy>
  <cp:revision>3</cp:revision>
  <dcterms:created xsi:type="dcterms:W3CDTF">2025-11-27T02:31:00Z</dcterms:created>
  <dcterms:modified xsi:type="dcterms:W3CDTF">2025-11-27T02:35:00Z</dcterms:modified>
</cp:coreProperties>
</file>