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uocpzy97md44" w:id="0"/>
      <w:bookmarkEnd w:id="0"/>
      <w:r w:rsidDel="00000000" w:rsidR="00000000" w:rsidRPr="00000000">
        <w:rPr>
          <w:rtl w:val="0"/>
        </w:rPr>
        <w:t xml:space="preserve">W209 Spring 2022 Section 01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i92xamoa3nmw" w:id="1"/>
      <w:bookmarkEnd w:id="1"/>
      <w:r w:rsidDel="00000000" w:rsidR="00000000" w:rsidRPr="00000000">
        <w:rPr>
          <w:rtl w:val="0"/>
        </w:rPr>
        <w:t xml:space="preserve">Final Project Proposal: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510mpaplygye" w:id="2"/>
      <w:bookmarkEnd w:id="2"/>
      <w:r w:rsidDel="00000000" w:rsidR="00000000" w:rsidRPr="00000000">
        <w:rPr>
          <w:rtl w:val="0"/>
        </w:rPr>
        <w:t xml:space="preserve">Team members: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Irene Shaffer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Heather Rancic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Austin Jin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Luis Delgado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Tony Angell</w:t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d5xrlfphm5l2" w:id="3"/>
      <w:bookmarkEnd w:id="3"/>
      <w:r w:rsidDel="00000000" w:rsidR="00000000" w:rsidRPr="00000000">
        <w:rPr>
          <w:rtl w:val="0"/>
        </w:rPr>
        <w:t xml:space="preserve">Project concept: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To understand the drivers behind Miami real estate costs as they pertain to future investments in the area.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u382recv4vif" w:id="4"/>
      <w:bookmarkEnd w:id="4"/>
      <w:r w:rsidDel="00000000" w:rsidR="00000000" w:rsidRPr="00000000">
        <w:rPr>
          <w:rtl w:val="0"/>
        </w:rPr>
        <w:t xml:space="preserve">User base: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Real estate brokers/agents/buyers/sellers in the Miami metropolitan area.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hpntmupkzu62" w:id="5"/>
      <w:bookmarkEnd w:id="5"/>
      <w:r w:rsidDel="00000000" w:rsidR="00000000" w:rsidRPr="00000000">
        <w:rPr>
          <w:rtl w:val="0"/>
        </w:rPr>
        <w:t xml:space="preserve">Resolvable tasks through visualization: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To be able to best predict neighborhoods and parcels in the Miami metropolitan area to purchase homes based on a myriad of factors including, but not limited to: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-Proximity to rail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-Proximity to noise impact areas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-Possibility of sea level rise (slr) impact on the specific area using proximity to the ocean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-Impact of housing features on costs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-Impact of structure quality costs (especially important after the building collapse of 2021)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-Age of the structure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-Proximity to business districts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-Previous sale prices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82kxhuqner18" w:id="6"/>
      <w:bookmarkEnd w:id="6"/>
      <w:r w:rsidDel="00000000" w:rsidR="00000000" w:rsidRPr="00000000">
        <w:rPr>
          <w:rtl w:val="0"/>
        </w:rPr>
        <w:t xml:space="preserve">Example insight we hope to show: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Parcels/neighborhoods to avoid due to heightened risks to resale prices.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Neighborhoods with declining/rising prices.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Neighborhoods increasing in popularity.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9yc6asjrnd7n" w:id="7"/>
      <w:bookmarkEnd w:id="7"/>
      <w:r w:rsidDel="00000000" w:rsidR="00000000" w:rsidRPr="00000000">
        <w:rPr>
          <w:rtl w:val="0"/>
        </w:rPr>
        <w:t xml:space="preserve">Data sources:</w:t>
      </w:r>
    </w:p>
    <w:p w:rsidR="00000000" w:rsidDel="00000000" w:rsidP="00000000" w:rsidRDefault="00000000" w:rsidRPr="00000000" w14:paraId="00000021">
      <w:pPr>
        <w:pStyle w:val="Heading3"/>
        <w:rPr/>
      </w:pPr>
      <w:bookmarkStart w:colFirst="0" w:colLast="0" w:name="_wlxouuo23j7w" w:id="8"/>
      <w:bookmarkEnd w:id="8"/>
      <w:r w:rsidDel="00000000" w:rsidR="00000000" w:rsidRPr="00000000">
        <w:rPr>
          <w:rtl w:val="0"/>
        </w:rPr>
        <w:t xml:space="preserve">Miami Housing Dataset:</w:t>
      </w:r>
    </w:p>
    <w:p w:rsidR="00000000" w:rsidDel="00000000" w:rsidP="00000000" w:rsidRDefault="00000000" w:rsidRPr="00000000" w14:paraId="0000002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https://www.kaggle.com/deepcontractor/miami-housing-dataset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rPr/>
      </w:pPr>
      <w:bookmarkStart w:colFirst="0" w:colLast="0" w:name="_2o46wq4f6jjf" w:id="9"/>
      <w:bookmarkEnd w:id="9"/>
      <w:r w:rsidDel="00000000" w:rsidR="00000000" w:rsidRPr="00000000">
        <w:rPr>
          <w:rtl w:val="0"/>
        </w:rPr>
        <w:t xml:space="preserve">Miami-Dade County 3-D Sea Level Rise (SLR) impacts: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https://mdc.maps.arcgis.com/apps/webappviewer3d/index.html?id=b92a9fa4ff8847bf97f3e628a195a398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rPr/>
      </w:pPr>
      <w:bookmarkStart w:colFirst="0" w:colLast="0" w:name="_u8r3wajcz89j" w:id="10"/>
      <w:bookmarkEnd w:id="10"/>
      <w:r w:rsidDel="00000000" w:rsidR="00000000" w:rsidRPr="00000000">
        <w:rPr>
          <w:rtl w:val="0"/>
        </w:rPr>
        <w:t xml:space="preserve">Miami-Dade County Sea Level Rise (SLR) predictions: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https://southeastfloridaclimatecompact.org/wp-content/uploads/2020/04/Sea-Level-Rise-Projection-Guidance-Report_FINAL_02212020.pdf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630" w:top="36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deepcontractor/miami-housing-data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