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Rule="auto"/>
        <w:rPr>
          <w:rFonts w:ascii="Arial" w:cs="Arial" w:eastAsia="Arial" w:hAnsi="Arial"/>
          <w:b w:val="1"/>
          <w:bCs w:val="1"/>
          <w:color w:val="252525"/>
          <w:sz w:val="27"/>
          <w:szCs w:val="27"/>
          <w:shd w:fill="33ffff" w:val="clear"/>
        </w:rPr>
      </w:pPr>
      <w:bookmarkStart w:colFirst="0" w:colLast="0" w:name="_5ppne7ndcgxi" w:id="0"/>
      <w:bookmarkEnd w:id="0"/>
      <w:r w:rsidDel="00000000" w:rsidR="00000000" w:rsidRPr="00000000">
        <w:rPr>
          <w:rFonts w:ascii="Arial" w:cs="Arial" w:eastAsia="Arial" w:hAnsi="Arial"/>
          <w:b w:val="1"/>
          <w:bCs w:val="1"/>
          <w:color w:val="252525"/>
          <w:sz w:val="27"/>
          <w:szCs w:val="27"/>
          <w:shd w:fill="33ffff" w:val="clear"/>
          <w:rtl w:val="0"/>
        </w:rPr>
        <w:t xml:space="preserve">0: Company Summary:</w:t>
      </w:r>
    </w:p>
    <w:p w:rsidR="00000000" w:rsidDel="00000000" w:rsidP="00000000" w:rsidRDefault="00000000" w:rsidRPr="00000000" w14:paraId="00000002">
      <w:pPr>
        <w:rPr/>
      </w:pPr>
      <w:r w:rsidDel="00000000" w:rsidR="00000000" w:rsidRPr="00000000">
        <w:rPr>
          <w:rtl w:val="0"/>
        </w:rPr>
        <w:t xml:space="preserve">Our main goal for TrueScan AI is to provide a resource for users to input an article where the AI scans it and lets the user know which parts of the article are factually correct and which parts are inaccurate or considered “fake news”. TrueScan will also provide advice and information to the user on what to look for when reading articles to determine whether they’re accurate or not. Our goal is for TrueScan to be integrated within social media platforms, but we also want users to be able to enter the url for an article on our website. Data will be stored on our servers.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Rule="auto"/>
        <w:rPr>
          <w:rFonts w:ascii="Arial" w:cs="Arial" w:eastAsia="Arial" w:hAnsi="Arial"/>
          <w:b w:val="1"/>
          <w:bCs w:val="1"/>
          <w:color w:val="252525"/>
          <w:sz w:val="27"/>
          <w:szCs w:val="27"/>
          <w:shd w:fill="33ffff" w:val="clear"/>
        </w:rPr>
      </w:pPr>
      <w:bookmarkStart w:colFirst="0" w:colLast="0" w:name="_iwlkpo8r73w8" w:id="1"/>
      <w:bookmarkEnd w:id="1"/>
      <w:r w:rsidDel="00000000" w:rsidR="00000000" w:rsidRPr="00000000">
        <w:rPr>
          <w:rFonts w:ascii="Arial" w:cs="Arial" w:eastAsia="Arial" w:hAnsi="Arial"/>
          <w:b w:val="1"/>
          <w:bCs w:val="1"/>
          <w:color w:val="252525"/>
          <w:sz w:val="27"/>
          <w:szCs w:val="27"/>
          <w:shd w:fill="33ffff" w:val="clear"/>
          <w:rtl w:val="0"/>
        </w:rPr>
        <w:t xml:space="preserve">1:ONE Objective and Key Result:</w:t>
      </w:r>
    </w:p>
    <w:p w:rsidR="00000000" w:rsidDel="00000000" w:rsidP="00000000" w:rsidRDefault="00000000" w:rsidRPr="00000000" w14:paraId="00000004">
      <w:pPr>
        <w:rPr/>
      </w:pPr>
      <w:r w:rsidDel="00000000" w:rsidR="00000000" w:rsidRPr="00000000">
        <w:rPr>
          <w:b w:val="1"/>
          <w:bCs w:val="1"/>
          <w:i w:val="1"/>
          <w:iCs w:val="1"/>
          <w:rtl w:val="0"/>
        </w:rPr>
        <w:t xml:space="preserve">Drive measurable user adoption of TrueScan AI.</w:t>
      </w:r>
      <w:r w:rsidDel="00000000" w:rsidR="00000000" w:rsidRPr="00000000">
        <w:rPr>
          <w:b w:val="1"/>
          <w:bCs w:val="1"/>
          <w:i w:val="1"/>
          <w:iCs w:val="1"/>
          <w:rtl w:val="0"/>
        </w:rPr>
        <w:t xml:space="preserve"> </w:t>
      </w:r>
      <w:r w:rsidDel="00000000" w:rsidR="00000000" w:rsidRPr="00000000">
        <w:rPr>
          <w:rtl w:val="0"/>
        </w:rPr>
        <w:t xml:space="preserve">Our milestone is to increase monthly active users to at least 5,000 verified unique users within the first evaluation period, with at least 40% returning for two or more scans per month. Key stakeholders for this OKR include the end users, the company itself and the publications whose articles will be scanned by our tool. Another important stakeholder would be educators, librarians and academic programs. These groups may be interested in using our tool for educational purposes and could help to increase our adoption. </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Rule="auto"/>
        <w:rPr>
          <w:rFonts w:ascii="Arial" w:cs="Arial" w:eastAsia="Arial" w:hAnsi="Arial"/>
          <w:b w:val="1"/>
          <w:bCs w:val="1"/>
          <w:i w:val="1"/>
          <w:iCs w:val="1"/>
          <w:color w:val="252525"/>
          <w:sz w:val="27"/>
          <w:szCs w:val="27"/>
          <w:shd w:fill="33ffff" w:val="clear"/>
        </w:rPr>
      </w:pPr>
      <w:bookmarkStart w:colFirst="0" w:colLast="0" w:name="_to2dsrqzpzjz" w:id="2"/>
      <w:bookmarkEnd w:id="2"/>
      <w:r w:rsidDel="00000000" w:rsidR="00000000" w:rsidRPr="00000000">
        <w:rPr>
          <w:rFonts w:ascii="Arial" w:cs="Arial" w:eastAsia="Arial" w:hAnsi="Arial"/>
          <w:b w:val="1"/>
          <w:bCs w:val="1"/>
          <w:i w:val="1"/>
          <w:iCs w:val="1"/>
          <w:color w:val="252525"/>
          <w:sz w:val="27"/>
          <w:szCs w:val="27"/>
          <w:shd w:fill="33ffff" w:val="clear"/>
          <w:rtl w:val="0"/>
        </w:rPr>
        <w:t xml:space="preserve">2: Metric(s) with Experimentation.</w:t>
      </w:r>
    </w:p>
    <w:p w:rsidR="00000000" w:rsidDel="00000000" w:rsidP="00000000" w:rsidRDefault="00000000" w:rsidRPr="00000000" w14:paraId="00000006">
      <w:pPr>
        <w:rPr/>
      </w:pPr>
      <w:r w:rsidDel="00000000" w:rsidR="00000000" w:rsidRPr="00000000">
        <w:rPr>
          <w:rtl w:val="0"/>
        </w:rPr>
        <w:t xml:space="preserve">In order to measure our goal of at least 5,000 verified unique users within the first evaluation period, with at least 40% returning for two or more scans per month, we will conduct an A/B experiment. Condition A will be the control group, which will be given the standard TrueScan AI experience. Condition B will be the treatment group, which will see an adoption-optimized experience. New visitors will be randomly shown either Control or Treatment. Then we will track whether the visitor completes at least one scan. Over the next 30 days, we will track whether that user returns to perform two or more scans. Finally, we will count the number of monthly active users and return rate for each user, comparing these numbers between each group.</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Rule="auto"/>
        <w:rPr>
          <w:rFonts w:ascii="Arial" w:cs="Arial" w:eastAsia="Arial" w:hAnsi="Arial"/>
          <w:i w:val="1"/>
          <w:iCs w:val="1"/>
          <w:color w:val="252525"/>
          <w:sz w:val="27"/>
          <w:szCs w:val="27"/>
        </w:rPr>
      </w:pPr>
      <w:bookmarkStart w:colFirst="0" w:colLast="0" w:name="_kg6122rbr480" w:id="3"/>
      <w:bookmarkEnd w:id="3"/>
      <w:r w:rsidDel="00000000" w:rsidR="00000000" w:rsidRPr="00000000">
        <w:rPr>
          <w:rFonts w:ascii="Arial" w:cs="Arial" w:eastAsia="Arial" w:hAnsi="Arial"/>
          <w:b w:val="1"/>
          <w:bCs w:val="1"/>
          <w:i w:val="1"/>
          <w:iCs w:val="1"/>
          <w:color w:val="252525"/>
          <w:sz w:val="27"/>
          <w:szCs w:val="27"/>
          <w:shd w:fill="33ffff" w:val="clear"/>
          <w:rtl w:val="0"/>
        </w:rPr>
        <w:t xml:space="preserve">3: Ethical Impact(s)/Issue(s).</w:t>
      </w:r>
      <w:r w:rsidDel="00000000" w:rsidR="00000000" w:rsidRPr="00000000">
        <w:rPr>
          <w:rFonts w:ascii="Arial" w:cs="Arial" w:eastAsia="Arial" w:hAnsi="Arial"/>
          <w:i w:val="1"/>
          <w:iCs w:val="1"/>
          <w:color w:val="252525"/>
          <w:sz w:val="27"/>
          <w:szCs w:val="27"/>
          <w:rtl w:val="0"/>
        </w:rPr>
        <w:t xml:space="preserve"> </w:t>
      </w:r>
    </w:p>
    <w:p w:rsidR="00000000" w:rsidDel="00000000" w:rsidP="00000000" w:rsidRDefault="00000000" w:rsidRPr="00000000" w14:paraId="00000008">
      <w:pPr>
        <w:rPr/>
      </w:pPr>
      <w:r w:rsidDel="00000000" w:rsidR="00000000" w:rsidRPr="00000000">
        <w:rPr>
          <w:rtl w:val="0"/>
        </w:rPr>
        <w:t xml:space="preserve">One ethical impact of this OKR is the possibility of prioritizing growth and adoption over accuracy, transparency and bias mitigation. This was an issue that Facebook faced when it introduced a metric called "Meaningful Social Interactions" (MSI) in 2018 [1]. The goal of this metric was to increase interactions that seemed positive, such as comments, replies and conversations. However, this ended up with an increase in divisive content because that content drove more "meaningful interactions."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Expected Ethical Impact Risk Table</w:t>
      </w:r>
    </w:p>
    <w:p w:rsidR="00000000" w:rsidDel="00000000" w:rsidP="00000000" w:rsidRDefault="00000000" w:rsidRPr="00000000" w14:paraId="0000000B">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b w:val="1"/>
                <w:bCs w:val="1"/>
              </w:rPr>
            </w:pPr>
            <w:r w:rsidDel="00000000" w:rsidR="00000000" w:rsidRPr="00000000">
              <w:rPr>
                <w:b w:val="1"/>
                <w:bCs w:val="1"/>
                <w:rtl w:val="0"/>
              </w:rPr>
              <w:t xml:space="preserve">Financial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b w:val="1"/>
                <w:bCs w:val="1"/>
              </w:rPr>
            </w:pPr>
            <w:r w:rsidDel="00000000" w:rsidR="00000000" w:rsidRPr="00000000">
              <w:rPr>
                <w:b w:val="1"/>
                <w:bCs w:val="1"/>
                <w:rtl w:val="0"/>
              </w:rPr>
              <w:t xml:space="preserve">Privacy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b w:val="1"/>
                <w:bCs w:val="1"/>
              </w:rPr>
            </w:pPr>
            <w:r w:rsidDel="00000000" w:rsidR="00000000" w:rsidRPr="00000000">
              <w:rPr>
                <w:b w:val="1"/>
                <w:bCs w:val="1"/>
                <w:rtl w:val="0"/>
              </w:rPr>
              <w:t xml:space="preserve">Conflicting Interest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rtl w:val="0"/>
              </w:rPr>
              <w:t xml:space="preserve">mid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pPr>
            <w:r w:rsidDel="00000000" w:rsidR="00000000" w:rsidRPr="00000000">
              <w:rPr>
                <w:rtl w:val="0"/>
              </w:rPr>
              <w:t xml:space="preserve">Educational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pPr>
            <w:r w:rsidDel="00000000" w:rsidR="00000000" w:rsidRPr="00000000">
              <w:rPr>
                <w:rtl w:val="0"/>
              </w:rPr>
              <w:t xml:space="preserve">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Publications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pPr>
            <w:r w:rsidDel="00000000" w:rsidR="00000000" w:rsidRPr="00000000">
              <w:rPr>
                <w:rtl w:val="0"/>
              </w:rPr>
              <w:t xml:space="preserve">high</w:t>
            </w:r>
          </w:p>
        </w:tc>
      </w:tr>
    </w:tbl>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User Stakeholder:</w:t>
      </w:r>
      <w:r w:rsidDel="00000000" w:rsidR="00000000" w:rsidRPr="00000000">
        <w:rPr>
          <w:rtl w:val="0"/>
        </w:rPr>
        <w:t xml:space="preserve"> The financial risk is low for the user because the use of this tool should not impact them financially. The privacy risk is high because tracking repeat-use for this OKR increases data retention. There may be a conflicting interest risk if the information given to the user conflicts with their world view.</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Company stakeholder:</w:t>
      </w:r>
      <w:r w:rsidDel="00000000" w:rsidR="00000000" w:rsidRPr="00000000">
        <w:rPr>
          <w:rtl w:val="0"/>
        </w:rPr>
        <w:t xml:space="preserve"> The conflicting interest risk to the company is considered high because pressure to meet these metrics could conflict with ethical accuracy and transparency obligations.</w:t>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Educational groups stakeholder:</w:t>
      </w:r>
      <w:r w:rsidDel="00000000" w:rsidR="00000000" w:rsidRPr="00000000">
        <w:rPr>
          <w:rtl w:val="0"/>
        </w:rPr>
        <w:t xml:space="preserve"> The financial risk to schools and universities is low because they would face little financial exposure. The privacy risk is mid because we may collect article URLs containing personal or academic information.</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Publications stakeholder:</w:t>
      </w:r>
      <w:r w:rsidDel="00000000" w:rsidR="00000000" w:rsidRPr="00000000">
        <w:rPr>
          <w:rtl w:val="0"/>
        </w:rPr>
        <w:t xml:space="preserve"> The financial risk to the publications whose articles our tool analyzes is high because if they are found to publish inaccurate articles often, they may see a drop in revenue. Similarly, the conflicting interest risk is very high because they obviously will not want our tool to call them out when they are spreading misinformation.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18" w:sz="0" w:val="none"/>
          <w:right w:color="auto" w:space="0" w:sz="0" w:val="none"/>
        </w:pBdr>
        <w:shd w:fill="ffffff" w:val="clear"/>
        <w:spacing w:after="0" w:before="0" w:lineRule="auto"/>
        <w:rPr>
          <w:rFonts w:ascii="Arial" w:cs="Arial" w:eastAsia="Arial" w:hAnsi="Arial"/>
          <w:b w:val="1"/>
          <w:bCs w:val="1"/>
          <w:color w:val="252525"/>
          <w:sz w:val="27"/>
          <w:szCs w:val="27"/>
          <w:shd w:fill="33ffff" w:val="clear"/>
        </w:rPr>
      </w:pPr>
      <w:bookmarkStart w:colFirst="0" w:colLast="0" w:name="_wswd7pc0btv5" w:id="4"/>
      <w:bookmarkEnd w:id="4"/>
      <w:r w:rsidDel="00000000" w:rsidR="00000000" w:rsidRPr="00000000">
        <w:rPr>
          <w:rFonts w:ascii="Arial" w:cs="Arial" w:eastAsia="Arial" w:hAnsi="Arial"/>
          <w:b w:val="1"/>
          <w:bCs w:val="1"/>
          <w:color w:val="252525"/>
          <w:sz w:val="27"/>
          <w:szCs w:val="27"/>
          <w:shd w:fill="33ffff" w:val="clear"/>
          <w:rtl w:val="0"/>
        </w:rPr>
        <w:t xml:space="preserve">4: Ethical Safeguards.</w:t>
      </w:r>
    </w:p>
    <w:p w:rsidR="00000000" w:rsidDel="00000000" w:rsidP="00000000" w:rsidRDefault="00000000" w:rsidRPr="00000000" w14:paraId="00000026">
      <w:pPr>
        <w:rPr/>
      </w:pPr>
      <w:r w:rsidDel="00000000" w:rsidR="00000000" w:rsidRPr="00000000">
        <w:rPr>
          <w:rtl w:val="0"/>
        </w:rPr>
        <w:t xml:space="preserve">The most important ethical safeguard will be to make sure that we do not prioritize meeting our growth metrics over accuracy or fairness. One way to do this is by using fairness audits based on the idea of information justice, as suggested by Neumann, De-Arteaga and Fazelpour [2]. According to this framework, "information justice" must be considered for multiple groups: the sources of information, the subjects of information, the seekers of information, and the sources of evidence used to fact-check the information. Some ways to measure the effectiveness of this safeguard could include measuring error rates across different subjects/communities, analyzing which groups' content gets flagged as misinformation disproportionately, and measuring how and where we source our evidence used to fact-check information.</w:t>
      </w:r>
    </w:p>
    <w:p w:rsidR="00000000" w:rsidDel="00000000" w:rsidP="00000000" w:rsidRDefault="00000000" w:rsidRPr="00000000" w14:paraId="00000027">
      <w:pPr>
        <w:rPr>
          <w:rFonts w:ascii="Arial" w:cs="Arial" w:eastAsia="Arial" w:hAnsi="Arial"/>
          <w:color w:val="252525"/>
          <w:sz w:val="27"/>
          <w:szCs w:val="27"/>
          <w:shd w:fill="33ffff" w:val="clear"/>
        </w:rPr>
      </w:pPr>
      <w:r w:rsidDel="00000000" w:rsidR="00000000" w:rsidRPr="00000000">
        <w:rPr>
          <w:rFonts w:ascii="Arial" w:cs="Arial" w:eastAsia="Arial" w:hAnsi="Arial"/>
          <w:b w:val="1"/>
          <w:bCs w:val="1"/>
          <w:color w:val="252525"/>
          <w:sz w:val="27"/>
          <w:szCs w:val="27"/>
          <w:shd w:fill="33ffff" w:val="clear"/>
          <w:rtl w:val="0"/>
        </w:rPr>
        <w:t xml:space="preserve">5: References.</w:t>
      </w:r>
      <w:r w:rsidDel="00000000" w:rsidR="00000000" w:rsidRPr="00000000">
        <w:rPr>
          <w:rFonts w:ascii="Arial" w:cs="Arial" w:eastAsia="Arial" w:hAnsi="Arial"/>
          <w:color w:val="252525"/>
          <w:sz w:val="27"/>
          <w:szCs w:val="27"/>
          <w:shd w:fill="33ffff" w:val="clear"/>
          <w:rtl w:val="0"/>
        </w:rPr>
        <w:t xml:space="preserve"> </w:t>
      </w:r>
    </w:p>
    <w:p w:rsidR="00000000" w:rsidDel="00000000" w:rsidP="00000000" w:rsidRDefault="00000000" w:rsidRPr="00000000" w14:paraId="00000028">
      <w:pPr>
        <w:rPr/>
      </w:pPr>
      <w:r w:rsidDel="00000000" w:rsidR="00000000" w:rsidRPr="00000000">
        <w:rPr>
          <w:rtl w:val="0"/>
        </w:rPr>
        <w:t xml:space="preserve">1. Anon. 2021. Facebook revelations: What is in cache of internal documents? (October 2021). Retrieved November 29, 2025 from https://www.theguardian.com/technology/2021/oct/25/facebook-revelations-from-misinformation-to-mental-health</w:t>
      </w:r>
    </w:p>
    <w:p w:rsidR="00000000" w:rsidDel="00000000" w:rsidP="00000000" w:rsidRDefault="00000000" w:rsidRPr="00000000" w14:paraId="00000029">
      <w:pPr>
        <w:rPr/>
      </w:pPr>
      <w:hyperlink r:id="rId6">
        <w:r w:rsidDel="00000000" w:rsidR="00000000" w:rsidRPr="00000000">
          <w:rPr>
            <w:color w:val="1155cc"/>
            <w:u w:val="single"/>
            <w:rtl w:val="0"/>
          </w:rPr>
          <w:t xml:space="preserve">https://www.courtlistener.com/docket/69058235/bartz-v-anthropic-pbc/</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Terrence Neumann, Maria De-Arteaga, and Sina Fazelpour. 2022. Justice in misinformation detection systems: An analysis of algorithms, stakeholders, and potential harms. </w:t>
      </w:r>
      <w:r w:rsidDel="00000000" w:rsidR="00000000" w:rsidRPr="00000000">
        <w:rPr>
          <w:i w:val="1"/>
          <w:iCs w:val="1"/>
          <w:rtl w:val="0"/>
        </w:rPr>
        <w:t xml:space="preserve">2022 ACM Conference on Fairness Accountability and Transparency</w:t>
      </w:r>
      <w:r w:rsidDel="00000000" w:rsidR="00000000" w:rsidRPr="00000000">
        <w:rPr>
          <w:rtl w:val="0"/>
        </w:rPr>
        <w:t xml:space="preserve"> (June 2022), 1504–1515. DOI:http://dx.doi.org/10.1145/3531146.3533205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d3b45"/>
        <w:sz w:val="24"/>
        <w:szCs w:val="24"/>
        <w:highlight w:val="white"/>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tlistener.com/docket/69058235/bartz-v-anthropic-p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