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Architecture &amp; Engineering Standard</w:t>
      </w:r>
    </w:p>
    <w:p>
      <w:pPr>
        <w:jc w:val="center"/>
      </w:pPr>
      <w:r>
        <w:rPr>
          <w:b/>
        </w:rPr>
        <w:t>TFQ-ARCH-001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TFQ-ARCH-001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Architectural objective</w:t>
      </w:r>
    </w:p>
    <w:p>
      <w:r>
        <w:t>Keep TestForge client-heavy, deterministic, testable and extensible. Future payment, accounts and integrations must attach around the core rather than replacing the deterministic generation engine.</w:t>
      </w:r>
    </w:p>
    <w:p>
      <w:pPr>
        <w:pStyle w:val="Heading1"/>
      </w:pPr>
      <w:r>
        <w:t>2.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504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Next.js 16.x, React 19.x, TypeScript 5.x</w:t>
            </w:r>
          </w:p>
        </w:tc>
      </w:tr>
      <w:tr>
        <w:tc>
          <w:tcPr>
            <w:tcW w:type="dxa" w:w="5040"/>
          </w:tcPr>
          <w:p>
            <w:r>
              <w:t>Styling</w:t>
            </w:r>
          </w:p>
        </w:tc>
        <w:tc>
          <w:tcPr>
            <w:tcW w:type="dxa" w:w="5040"/>
          </w:tcPr>
          <w:p>
            <w:r>
              <w:t>Tailwind CSS 4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Zod 4.x</w:t>
            </w:r>
          </w:p>
        </w:tc>
      </w:tr>
      <w:tr>
        <w:tc>
          <w:tcPr>
            <w:tcW w:type="dxa" w:w="5040"/>
          </w:tcPr>
          <w:p>
            <w:r>
              <w:t>Unit testing</w:t>
            </w:r>
          </w:p>
        </w:tc>
        <w:tc>
          <w:tcPr>
            <w:tcW w:type="dxa" w:w="5040"/>
          </w:tcPr>
          <w:p>
            <w:r>
              <w:t>Vitest 4.x</w:t>
            </w:r>
          </w:p>
        </w:tc>
      </w:tr>
      <w:tr>
        <w:tc>
          <w:tcPr>
            <w:tcW w:type="dxa" w:w="5040"/>
          </w:tcPr>
          <w:p>
            <w:r>
              <w:t>UI/E2E</w:t>
            </w:r>
          </w:p>
        </w:tc>
        <w:tc>
          <w:tcPr>
            <w:tcW w:type="dxa" w:w="5040"/>
          </w:tcPr>
          <w:p>
            <w:r>
              <w:t>Cypress</w:t>
            </w:r>
          </w:p>
        </w:tc>
      </w:tr>
      <w:tr>
        <w:tc>
          <w:tcPr>
            <w:tcW w:type="dxa" w:w="5040"/>
          </w:tcPr>
          <w:p>
            <w:r>
              <w:t>API regression</w:t>
            </w:r>
          </w:p>
        </w:tc>
        <w:tc>
          <w:tcPr>
            <w:tcW w:type="dxa" w:w="5040"/>
          </w:tcPr>
          <w:p>
            <w:r>
              <w:t>Postman/Newman when an API exists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localStorage</w:t>
            </w:r>
          </w:p>
        </w:tc>
      </w:tr>
      <w:tr>
        <w:tc>
          <w:tcPr>
            <w:tcW w:type="dxa" w:w="5040"/>
          </w:tcPr>
          <w:p>
            <w:r>
              <w:t>Hosting</w:t>
            </w:r>
          </w:p>
        </w:tc>
        <w:tc>
          <w:tcPr>
            <w:tcW w:type="dxa" w:w="5040"/>
          </w:tcPr>
          <w:p>
            <w:r>
              <w:t>Cloudflare-oriented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None required for MVP</w:t>
            </w:r>
          </w:p>
        </w:tc>
      </w:tr>
    </w:tbl>
    <w:p/>
    <w:p>
      <w:pPr>
        <w:pStyle w:val="Heading1"/>
      </w:pPr>
      <w:r>
        <w:t>3. Layering</w:t>
      </w:r>
    </w:p>
    <w:p>
      <w:pPr>
        <w:pStyle w:val="Code"/>
      </w:pPr>
      <w:r>
        <w:t>Presentation -&gt; Domain -&gt; Validation / Generation / Rules / Persistence -&gt; Canonical GeneratedCase[] -&gt; Export</w:t>
        <w:br/>
        <w:br/>
        <w:t>Presentation must not implement generation logic.</w:t>
      </w:r>
    </w:p>
    <w:p>
      <w:pPr>
        <w:pStyle w:val="Heading1"/>
      </w:pPr>
      <w:r>
        <w:t>4. Generation flow</w:t>
      </w:r>
    </w:p>
    <w:p>
      <w:pPr>
        <w:pStyle w:val="Code"/>
      </w:pPr>
      <w:r>
        <w:t>Field Definition -&gt; Zod Validation -&gt; Normalize Constraints -&gt; Per-field Generation -&gt; Rule Combination Generation -&gt; Deduplication -&gt; Stable Ordering -&gt; Assign IDs -&gt; GeneratedCase[] -&gt; UI / CSV / JSON</w:t>
      </w:r>
    </w:p>
    <w:p>
      <w:pPr>
        <w:pStyle w:val="Heading1"/>
      </w:pPr>
      <w:r>
        <w:t>5. Domain contracts</w:t>
      </w:r>
    </w:p>
    <w:p>
      <w:pPr>
        <w:pStyle w:val="Code"/>
      </w:pPr>
      <w:r>
        <w:t>FieldType = 'string' | 'integer' | 'decimal' | 'enum' | 'boolean'</w:t>
        <w:br/>
        <w:t>PrimitiveValue = string | number | boolean | null</w:t>
        <w:br/>
        <w:br/>
        <w:t>GeneratedCase: id, fieldId?, fieldName?, value?, values?, category, expected, reason, sourceConstraint?, sourceRuleId?</w:t>
        <w:br/>
        <w:t>TestForgeProject: version:1, id, name, fields[], rules[], options</w:t>
      </w:r>
    </w:p>
    <w:p>
      <w:pPr>
        <w:pStyle w:val="Heading1"/>
      </w:pPr>
      <w:r>
        <w:t>6. Generator contract</w:t>
      </w:r>
    </w:p>
    <w:p>
      <w:pPr>
        <w:pStyle w:val="Code"/>
      </w:pPr>
      <w:r>
        <w:t>interface FieldGenerator {</w:t>
        <w:br/>
        <w:t xml:space="preserve">  supports(field: TestField): boolean;</w:t>
        <w:br/>
        <w:t xml:space="preserve">  generate(field: TestField, options: GeneratorOptions): GeneratedCase[];</w:t>
        <w:br/>
        <w:t>}</w:t>
      </w:r>
    </w:p>
    <w:p>
      <w:pPr>
        <w:pStyle w:val="ListBullet"/>
      </w:pPr>
      <w:r>
        <w:t>Concrete datatype generators implement FieldGenerator.</w:t>
      </w:r>
    </w:p>
    <w:p>
      <w:pPr>
        <w:pStyle w:val="ListBullet"/>
      </w:pPr>
      <w:r>
        <w:t>The dispatcher selects a supporting generator using supports().</w:t>
      </w:r>
    </w:p>
    <w:p>
      <w:pPr>
        <w:pStyle w:val="ListBullet"/>
      </w:pPr>
      <w:r>
        <w:t>If none supports a field, throw a controlled GeneratorError; do not silently return successful empty output.</w:t>
      </w:r>
    </w:p>
    <w:p>
      <w:pPr>
        <w:pStyle w:val="ListBullet"/>
      </w:pPr>
      <w:r>
        <w:t>Boundary values must be deterministic.</w:t>
      </w:r>
    </w:p>
    <w:p>
      <w:pPr>
        <w:pStyle w:val="ListBullet"/>
      </w:pPr>
      <w:r>
        <w:t>Decimal boundaries must avoid binary floating-point artifacts.</w:t>
      </w:r>
    </w:p>
    <w:p>
      <w:pPr>
        <w:pStyle w:val="ListBullet"/>
      </w:pPr>
      <w:r>
        <w:t>Do not use any to suppress domain/type errors.</w:t>
      </w:r>
    </w:p>
    <w:p>
      <w:pPr>
        <w:pStyle w:val="Heading1"/>
      </w:pPr>
      <w:r>
        <w:t>7. Business rule engine</w:t>
      </w:r>
    </w:p>
    <w:p>
      <w:r>
        <w:t>Rules are structural IF/AND/THEN definitions with a maximum of three conditions. Project-level validation checks field references and operator compatibility. Generation produces trigger and one-condition-at-a-time near-miss combinations, not the full Cartesian product.</w:t>
      </w:r>
    </w:p>
    <w:p>
      <w:pPr>
        <w:pStyle w:val="Heading1"/>
      </w:pPr>
      <w:r>
        <w:t>8. Stable ordering and deduplication</w:t>
      </w:r>
    </w:p>
    <w:p>
      <w:r>
        <w:t>Category order: valid, boundary, negative, special, business-rule. Single-field semantic key includes fieldId/value/expected/category. Multi-field key includes sorted values/expected/sourceRuleId. IDs are generated after final sort.</w:t>
      </w:r>
    </w:p>
    <w:p>
      <w:pPr>
        <w:pStyle w:val="Heading1"/>
      </w:pPr>
      <w:r>
        <w:t>9. Repository structure</w:t>
      </w:r>
    </w:p>
    <w:p>
      <w:pPr>
        <w:pStyle w:val="Code"/>
      </w:pPr>
      <w:r>
        <w:t>src/app</w:t>
        <w:br/>
        <w:t>src/components</w:t>
        <w:br/>
        <w:t>src/domain</w:t>
        <w:br/>
        <w:t>src/lib/validation</w:t>
        <w:br/>
        <w:t>src/lib/generators</w:t>
        <w:br/>
        <w:t>src/lib/rules</w:t>
        <w:br/>
        <w:t>src/lib/persistence</w:t>
        <w:br/>
        <w:t>src/lib/export</w:t>
        <w:br/>
        <w:t>src/data</w:t>
        <w:br/>
        <w:t>src/hooks</w:t>
        <w:br/>
        <w:t>src/types</w:t>
        <w:br/>
        <w:t>tests</w:t>
        <w:br/>
        <w:t>cypress</w:t>
        <w:br/>
        <w:t>postman (future API collections)</w:t>
      </w:r>
    </w:p>
    <w:p>
      <w:pPr>
        <w:pStyle w:val="Heading1"/>
      </w:pPr>
      <w:r>
        <w:t>10. Engineering constraints</w:t>
      </w:r>
    </w:p>
    <w:p>
      <w:pPr>
        <w:pStyle w:val="ListBullet"/>
      </w:pPr>
      <w:r>
        <w:t>UI consumes domain services; domain services do not import React.</w:t>
      </w:r>
    </w:p>
    <w:p>
      <w:pPr>
        <w:pStyle w:val="ListBullet"/>
      </w:pPr>
      <w:r>
        <w:t>Generated payloads are always treated as data/text.</w:t>
      </w:r>
    </w:p>
    <w:p>
      <w:pPr>
        <w:pStyle w:val="ListBullet"/>
      </w:pPr>
      <w:r>
        <w:t>Persistence is schema-versioned.</w:t>
      </w:r>
    </w:p>
    <w:p>
      <w:pPr>
        <w:pStyle w:val="ListBullet"/>
      </w:pPr>
      <w:r>
        <w:t>Exports consume canonical GeneratedCase[] rather than re-generating data.</w:t>
      </w:r>
    </w:p>
    <w:p>
      <w:pPr>
        <w:pStyle w:val="ListBullet"/>
      </w:pPr>
      <w:r>
        <w:t>Future AI may parse requirements into proposed structured fields/rules, but a human approves them and deterministic generation remains source of truth.</w:t>
      </w:r>
    </w:p>
    <w:p>
      <w:pPr>
        <w:pStyle w:val="ListBullet"/>
      </w:pPr>
      <w:r>
        <w:t>Future billing/entitlements remain outside low-level generation algorithms.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