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TestForge QA - Documentation Control Plan</w:t>
      </w:r>
    </w:p>
    <w:p>
      <w:pPr>
        <w:jc w:val="center"/>
      </w:pPr>
      <w:r>
        <w:rPr>
          <w:b/>
        </w:rPr>
        <w:t>TFQ-DOC-001 | Version 1.0 | Controlled - MVP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2520"/>
          </w:tcPr>
          <w:p>
            <w:r>
              <w:t>TFQ-DOC-001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</w:tcPr>
          <w:p>
            <w:r>
              <w:t>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</w:tcPr>
          <w:p>
            <w:r>
              <w:t>Controlled - MVP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520"/>
          </w:tcPr>
          <w:p>
            <w:r>
              <w:t>TestForge QA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</w:tcPr>
          <w:p>
            <w:r>
              <w:t>Product / Business Owner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520"/>
          </w:tcPr>
          <w:p>
            <w:r>
              <w:t>MVP 1.0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520"/>
          </w:tcPr>
          <w:p>
            <w:r>
              <w:t>Internal / Development Baseline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Review trigger</w:t>
            </w:r>
          </w:p>
        </w:tc>
        <w:tc>
          <w:tcPr>
            <w:tcW w:type="dxa" w:w="2520"/>
          </w:tcPr>
          <w:p>
            <w:r>
              <w:t>Any approved scope/architecture change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establishes the controlled documentation set for TestForge QA. It defines which document is authoritative for each subject, document ownership, versioning, change control, review rules and how development tools - including AI coding assistants - must consume the requirements.</w:t>
      </w:r>
    </w:p>
    <w:p>
      <w:pPr>
        <w:pStyle w:val="Heading1"/>
      </w:pPr>
      <w:r>
        <w:t>2. Controlled document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 / authority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TFQ-REQ-001 - MVP Product &amp; System Requirements</w:t>
            </w:r>
          </w:p>
        </w:tc>
        <w:tc>
          <w:tcPr>
            <w:tcW w:type="dxa" w:w="3360"/>
          </w:tcPr>
          <w:p>
            <w:r>
              <w:t>Authoritative statement of MVP scope, functional/non-functional requirements, acceptance criteria and exclusions.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TFQ-ARCH-001 - Architecture &amp; Engineering Standard</w:t>
            </w:r>
          </w:p>
        </w:tc>
        <w:tc>
          <w:tcPr>
            <w:tcW w:type="dxa" w:w="3360"/>
          </w:tcPr>
          <w:p>
            <w:r>
              <w:t>Authoritative technical boundaries, domain contracts, generation pipeline and implementation constraints.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TFQ-TEST-001 - QA &amp; Automation Strategy</w:t>
            </w:r>
          </w:p>
        </w:tc>
        <w:tc>
          <w:tcPr>
            <w:tcW w:type="dxa" w:w="3360"/>
          </w:tcPr>
          <w:p>
            <w:r>
              <w:t>Authoritative test levels, coverage expectations and release gates.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TFQ-AI-001 - AI Development Contract</w:t>
            </w:r>
          </w:p>
        </w:tc>
        <w:tc>
          <w:tcPr>
            <w:tcW w:type="dxa" w:w="3360"/>
          </w:tcPr>
          <w:p>
            <w:r>
              <w:t>Portable implementation brief for ChatGPT, Claude and other coding assistants; it summarizes but does not override higher-priority controlled requirements.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TFQ-RMAP-001 - Product Roadmap &amp; Commercial Plan</w:t>
            </w:r>
          </w:p>
        </w:tc>
        <w:tc>
          <w:tcPr>
            <w:tcW w:type="dxa" w:w="3360"/>
          </w:tcPr>
          <w:p>
            <w:r>
              <w:t>MVP/free positioning and post-MVP paid direction.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TFQ-CHG-001 - Change Log &amp; Decision Register</w:t>
            </w:r>
          </w:p>
        </w:tc>
        <w:tc>
          <w:tcPr>
            <w:tcW w:type="dxa" w:w="3360"/>
          </w:tcPr>
          <w:p>
            <w:r>
              <w:t>Records approved requirement/architecture/product decisions and document revisions.</w:t>
            </w:r>
          </w:p>
        </w:tc>
      </w:tr>
    </w:tbl>
    <w:p/>
    <w:p>
      <w:pPr>
        <w:pStyle w:val="Heading1"/>
      </w:pPr>
      <w:r>
        <w:t>3. Conflict rule</w:t>
      </w:r>
    </w:p>
    <w:p>
      <w:r>
        <w:t>If documents conflict, the higher-priority document above governs. An AI tool or developer must not silently reconcile a conflict. The conflict must be raised to the Product / Business Owner before implementation.</w:t>
      </w:r>
    </w:p>
    <w:p>
      <w:pPr>
        <w:pStyle w:val="Heading1"/>
      </w:pPr>
      <w:r>
        <w:t>4. Status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Draft</w:t>
            </w:r>
          </w:p>
        </w:tc>
        <w:tc>
          <w:tcPr>
            <w:tcW w:type="dxa" w:w="5040"/>
          </w:tcPr>
          <w:p>
            <w:r>
              <w:t>Being prepared; not approved for implementation.</w:t>
            </w:r>
          </w:p>
        </w:tc>
      </w:tr>
      <w:tr>
        <w:tc>
          <w:tcPr>
            <w:tcW w:type="dxa" w:w="5040"/>
          </w:tcPr>
          <w:p>
            <w:r>
              <w:t>Controlled - MVP Baseline</w:t>
            </w:r>
          </w:p>
        </w:tc>
        <w:tc>
          <w:tcPr>
            <w:tcW w:type="dxa" w:w="5040"/>
          </w:tcPr>
          <w:p>
            <w:r>
              <w:t>Approved source of truth for MVP implementation.</w:t>
            </w:r>
          </w:p>
        </w:tc>
      </w:tr>
      <w:tr>
        <w:tc>
          <w:tcPr>
            <w:tcW w:type="dxa" w:w="5040"/>
          </w:tcPr>
          <w:p>
            <w:r>
              <w:t>Superseded</w:t>
            </w:r>
          </w:p>
        </w:tc>
        <w:tc>
          <w:tcPr>
            <w:tcW w:type="dxa" w:w="5040"/>
          </w:tcPr>
          <w:p>
            <w:r>
              <w:t>Replaced by a newer controlled version; retained for traceability.</w:t>
            </w:r>
          </w:p>
        </w:tc>
      </w:tr>
      <w:tr>
        <w:tc>
          <w:tcPr>
            <w:tcW w:type="dxa" w:w="5040"/>
          </w:tcPr>
          <w:p>
            <w:r>
              <w:t>Archived</w:t>
            </w:r>
          </w:p>
        </w:tc>
        <w:tc>
          <w:tcPr>
            <w:tcW w:type="dxa" w:w="5040"/>
          </w:tcPr>
          <w:p>
            <w:r>
              <w:t>No longer active and not valid for new implementation.</w:t>
            </w:r>
          </w:p>
        </w:tc>
      </w:tr>
    </w:tbl>
    <w:p/>
    <w:p>
      <w:pPr>
        <w:pStyle w:val="Heading1"/>
      </w:pPr>
      <w:r>
        <w:t>5. Versioning</w:t>
      </w:r>
    </w:p>
    <w:p>
      <w:pPr>
        <w:pStyle w:val="ListBullet"/>
      </w:pPr>
      <w:r>
        <w:t>Major version: approved change to product scope, domain contract, architecture boundary, commercial model or acceptance behavior.</w:t>
      </w:r>
    </w:p>
    <w:p>
      <w:pPr>
        <w:pStyle w:val="ListBullet"/>
      </w:pPr>
      <w:r>
        <w:t>Minor version: approved additive clarification that changes implementation or testing but not the overall product boundary.</w:t>
      </w:r>
    </w:p>
    <w:p>
      <w:pPr>
        <w:pStyle w:val="ListBullet"/>
      </w:pPr>
      <w:r>
        <w:t>Patch version: editorial correction with no intended behavioral change.</w:t>
      </w:r>
    </w:p>
    <w:p>
      <w:pPr>
        <w:pStyle w:val="ListBullet"/>
      </w:pPr>
      <w:r>
        <w:t>Every controlled revision must be recorded in TFQ-CHG-001 before or with the implementation PR.</w:t>
      </w:r>
    </w:p>
    <w:p>
      <w:pPr>
        <w:pStyle w:val="Heading1"/>
      </w:pPr>
      <w:r>
        <w:t>6. Change-control workflow</w:t>
      </w:r>
    </w:p>
    <w:p>
      <w:pPr>
        <w:pStyle w:val="Code"/>
      </w:pPr>
      <w:r>
        <w:t>Change request -&gt; impact assessment -&gt; Product Owner decision -&gt; update controlled doc(s) -&gt; update change register -&gt; implementation branch -&gt; tests -&gt; PR -&gt; merge</w:t>
      </w:r>
    </w:p>
    <w:p>
      <w:pPr>
        <w:pStyle w:val="ListBullet"/>
      </w:pPr>
      <w:r>
        <w:t>No developer or AI assistant may add a product feature solely because it is technically convenient.</w:t>
      </w:r>
    </w:p>
    <w:p>
      <w:pPr>
        <w:pStyle w:val="ListBullet"/>
      </w:pPr>
      <w:r>
        <w:t>Changes to MVP exclusions require explicit Product / Business Owner approval.</w:t>
      </w:r>
    </w:p>
    <w:p>
      <w:pPr>
        <w:pStyle w:val="ListBullet"/>
      </w:pPr>
      <w:r>
        <w:t>Changes to canonical models or generator semantics require corresponding automated tests.</w:t>
      </w:r>
    </w:p>
    <w:p>
      <w:pPr>
        <w:pStyle w:val="ListBullet"/>
      </w:pPr>
      <w:r>
        <w:t>Post-MVP/payment requirements must not leak into the free MVP implementation unless specifically approved.</w:t>
      </w:r>
    </w:p>
    <w:p>
      <w:pPr>
        <w:pStyle w:val="Heading1"/>
      </w:pPr>
      <w:r>
        <w:t>7. Repository placement</w:t>
      </w:r>
    </w:p>
    <w:p>
      <w:pPr>
        <w:pStyle w:val="Code"/>
      </w:pPr>
      <w:r>
        <w:t>docs/controlled/</w:t>
        <w:br/>
        <w:t xml:space="preserve">  TFQ-DOC-001_Document_Control_Plan.docx</w:t>
        <w:br/>
        <w:t xml:space="preserve">  TFQ-REQ-001_MVP_Requirements.docx</w:t>
        <w:br/>
        <w:t xml:space="preserve">  TFQ-ARCH-001_Architecture_Engineering.docx</w:t>
        <w:br/>
        <w:t xml:space="preserve">  TFQ-TEST-001_QA_Automation_Strategy.docx</w:t>
        <w:br/>
        <w:t xml:space="preserve">  TFQ-AI-001_AI_Development_Contract.docx</w:t>
        <w:br/>
        <w:t xml:space="preserve">  TFQ-RMAP-001_Product_Roadmap_Commercial.docx</w:t>
        <w:br/>
        <w:t xml:space="preserve">  TFQ-CHG-001_Change_Log_Decision_Register.docx</w:t>
      </w:r>
    </w:p>
    <w:p>
      <w:pPr>
        <w:pStyle w:val="Heading1"/>
      </w:pPr>
      <w:r>
        <w:t>8. Review cadence</w:t>
      </w:r>
    </w:p>
    <w:p>
      <w:r>
        <w:t>Review the controlled set at each MVP milestone and before public release. Outside scheduled reviews, update documents when an approved change affects scope, acceptance criteria, architecture, security/privacy, test gates or monetization boundaries.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