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TestForge QA - MVP Product &amp; System Requirements</w:t>
      </w:r>
    </w:p>
    <w:p>
      <w:pPr>
        <w:jc w:val="center"/>
      </w:pPr>
      <w:r>
        <w:rPr>
          <w:b/>
        </w:rPr>
        <w:t>TFQ-REQ-001 | Version 1.0 | Controlled - MVP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520"/>
          </w:tcPr>
          <w:p>
            <w:r>
              <w:t>TFQ-REQ-001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</w:tcPr>
          <w:p>
            <w:r>
              <w:t>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t>Controlled - MVP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520"/>
          </w:tcPr>
          <w:p>
            <w:r>
              <w:t>TestForge QA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</w:tcPr>
          <w:p>
            <w:r>
              <w:t>Product / Business Owner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20"/>
          </w:tcPr>
          <w:p>
            <w:r>
              <w:t>MVP 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t>Internal / Development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Review trigger</w:t>
            </w:r>
          </w:p>
        </w:tc>
        <w:tc>
          <w:tcPr>
            <w:tcW w:type="dxa" w:w="2520"/>
          </w:tcPr>
          <w:p>
            <w:r>
              <w:t>Any approved scope/architecture change</w:t>
            </w:r>
          </w:p>
        </w:tc>
      </w:tr>
    </w:tbl>
    <w:p/>
    <w:p>
      <w:pPr>
        <w:pStyle w:val="Heading1"/>
      </w:pPr>
      <w:r>
        <w:t>1. Product definition</w:t>
      </w:r>
    </w:p>
    <w:p>
      <w:r>
        <w:t>TestForge QA is a free MVP browser-based QA test-data generation utility. Users define fields, constraints and simple business rules; the application deterministically generates valid, invalid, boundary, special and rule-based test data with explanations for manual or automated testing.</w:t>
      </w:r>
    </w:p>
    <w:p>
      <w:pPr>
        <w:pStyle w:val="Heading1"/>
      </w:pPr>
      <w:r>
        <w:t>2. MVP business boundary</w:t>
      </w:r>
    </w:p>
    <w:p>
      <w:pPr>
        <w:pStyle w:val="ListBullet"/>
      </w:pPr>
      <w:r>
        <w:t>MVP 1.0 is free and has no login, subscription, checkout or payment.</w:t>
      </w:r>
    </w:p>
    <w:p>
      <w:pPr>
        <w:pStyle w:val="ListBullet"/>
      </w:pPr>
      <w:r>
        <w:t>All generation and project processing occur locally in the browser.</w:t>
      </w:r>
    </w:p>
    <w:p>
      <w:pPr>
        <w:pStyle w:val="ListBullet"/>
      </w:pPr>
      <w:r>
        <w:t>Project persistence uses browser localStorage.</w:t>
      </w:r>
    </w:p>
    <w:p>
      <w:pPr>
        <w:pStyle w:val="ListBullet"/>
      </w:pPr>
      <w:r>
        <w:t>The MVP validates product usefulness before payment and cloud complexity are introduced.</w:t>
      </w:r>
    </w:p>
    <w:p>
      <w:pPr>
        <w:pStyle w:val="Heading1"/>
      </w:pPr>
      <w:r>
        <w:t>3. Supported field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Constraints / behavior</w:t>
            </w:r>
          </w:p>
        </w:tc>
      </w:tr>
      <w:tr>
        <w:tc>
          <w:tcPr>
            <w:tcW w:type="dxa" w:w="5040"/>
          </w:tcPr>
          <w:p>
            <w:r>
              <w:t>String</w:t>
            </w:r>
          </w:p>
        </w:tc>
        <w:tc>
          <w:tcPr>
            <w:tcW w:type="dxa" w:w="5040"/>
          </w:tcPr>
          <w:p>
            <w:r>
              <w:t>minLength, maxLength, allowSpaces, allowSpecialCharacters, allowUnicode.</w:t>
            </w:r>
          </w:p>
        </w:tc>
      </w:tr>
      <w:tr>
        <w:tc>
          <w:tcPr>
            <w:tcW w:type="dxa" w:w="5040"/>
          </w:tcPr>
          <w:p>
            <w:r>
              <w:t>Integer</w:t>
            </w:r>
          </w:p>
        </w:tc>
        <w:tc>
          <w:tcPr>
            <w:tcW w:type="dxa" w:w="5040"/>
          </w:tcPr>
          <w:p>
            <w:r>
              <w:t>min, max.</w:t>
            </w:r>
          </w:p>
        </w:tc>
      </w:tr>
      <w:tr>
        <w:tc>
          <w:tcPr>
            <w:tcW w:type="dxa" w:w="5040"/>
          </w:tcPr>
          <w:p>
            <w:r>
              <w:t>Decimal</w:t>
            </w:r>
          </w:p>
        </w:tc>
        <w:tc>
          <w:tcPr>
            <w:tcW w:type="dxa" w:w="5040"/>
          </w:tcPr>
          <w:p>
            <w:r>
              <w:t>min, max, decimalPlaces.</w:t>
            </w:r>
          </w:p>
        </w:tc>
      </w:tr>
      <w:tr>
        <w:tc>
          <w:tcPr>
            <w:tcW w:type="dxa" w:w="5040"/>
          </w:tcPr>
          <w:p>
            <w:r>
              <w:t>Enum</w:t>
            </w:r>
          </w:p>
        </w:tc>
        <w:tc>
          <w:tcPr>
            <w:tcW w:type="dxa" w:w="5040"/>
          </w:tcPr>
          <w:p>
            <w:r>
              <w:t>allowedValues with at least one value.</w:t>
            </w:r>
          </w:p>
        </w:tc>
      </w:tr>
      <w:tr>
        <w:tc>
          <w:tcPr>
            <w:tcW w:type="dxa" w:w="5040"/>
          </w:tcPr>
          <w:p>
            <w:r>
              <w:t>Boolean</w:t>
            </w:r>
          </w:p>
        </w:tc>
        <w:tc>
          <w:tcPr>
            <w:tcW w:type="dxa" w:w="5040"/>
          </w:tcPr>
          <w:p>
            <w:r>
              <w:t>true/false; no irrelevant string/numeric constraints.</w:t>
            </w:r>
          </w:p>
        </w:tc>
      </w:tr>
    </w:tbl>
    <w:p/>
    <w:p>
      <w:pPr>
        <w:pStyle w:val="Heading1"/>
      </w:pPr>
      <w:r>
        <w:t>4. Generator options</w:t>
      </w:r>
    </w:p>
    <w:p>
      <w:r>
        <w:t>Support includeValid, includeBoundary, includeNegative, includeSpecial, includeNull, includeEmpty, includeWhitespace, includeWrongType and includeUnicode. Defaults are true. Disabling an option prevents generation of cases belonging specifically to that option.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FR-001</w:t>
            </w:r>
          </w:p>
        </w:tc>
        <w:tc>
          <w:tcPr>
            <w:tcW w:type="dxa" w:w="5040"/>
          </w:tcPr>
          <w:p>
            <w:r>
              <w:t>Create/edit a project with name, fields, rules and generator options.</w:t>
            </w:r>
          </w:p>
        </w:tc>
      </w:tr>
      <w:tr>
        <w:tc>
          <w:tcPr>
            <w:tcW w:type="dxa" w:w="5040"/>
          </w:tcPr>
          <w:p>
            <w:r>
              <w:t>FR-002</w:t>
            </w:r>
          </w:p>
        </w:tc>
        <w:tc>
          <w:tcPr>
            <w:tcW w:type="dxa" w:w="5040"/>
          </w:tcPr>
          <w:p>
            <w:r>
              <w:t>Validate project definitions before generation using reusable Zod schemas.</w:t>
            </w:r>
          </w:p>
        </w:tc>
      </w:tr>
      <w:tr>
        <w:tc>
          <w:tcPr>
            <w:tcW w:type="dxa" w:w="5040"/>
          </w:tcPr>
          <w:p>
            <w:r>
              <w:t>FR-003</w:t>
            </w:r>
          </w:p>
        </w:tc>
        <w:tc>
          <w:tcPr>
            <w:tcW w:type="dxa" w:w="5040"/>
          </w:tcPr>
          <w:p>
            <w:r>
              <w:t>Generate deterministic cases for String, Integer, Decimal, Enum and Boolean.</w:t>
            </w:r>
          </w:p>
        </w:tc>
      </w:tr>
      <w:tr>
        <w:tc>
          <w:tcPr>
            <w:tcW w:type="dxa" w:w="5040"/>
          </w:tcPr>
          <w:p>
            <w:r>
              <w:t>FR-004</w:t>
            </w:r>
          </w:p>
        </w:tc>
        <w:tc>
          <w:tcPr>
            <w:tcW w:type="dxa" w:w="5040"/>
          </w:tcPr>
          <w:p>
            <w:r>
              <w:t>Every generated case contains expected status and a non-empty explanation.</w:t>
            </w:r>
          </w:p>
        </w:tc>
      </w:tr>
      <w:tr>
        <w:tc>
          <w:tcPr>
            <w:tcW w:type="dxa" w:w="5040"/>
          </w:tcPr>
          <w:p>
            <w:r>
              <w:t>FR-005</w:t>
            </w:r>
          </w:p>
        </w:tc>
        <w:tc>
          <w:tcPr>
            <w:tcW w:type="dxa" w:w="5040"/>
          </w:tcPr>
          <w:p>
            <w:r>
              <w:t>Support categories valid, boundary, negative, special and business-rule.</w:t>
            </w:r>
          </w:p>
        </w:tc>
      </w:tr>
      <w:tr>
        <w:tc>
          <w:tcPr>
            <w:tcW w:type="dxa" w:w="5040"/>
          </w:tcPr>
          <w:p>
            <w:r>
              <w:t>FR-006</w:t>
            </w:r>
          </w:p>
        </w:tc>
        <w:tc>
          <w:tcPr>
            <w:tcW w:type="dxa" w:w="5040"/>
          </w:tcPr>
          <w:p>
            <w:r>
              <w:t>Support expected statuses valid, invalid and conditional.</w:t>
            </w:r>
          </w:p>
        </w:tc>
      </w:tr>
      <w:tr>
        <w:tc>
          <w:tcPr>
            <w:tcW w:type="dxa" w:w="5040"/>
          </w:tcPr>
          <w:p>
            <w:r>
              <w:t>FR-007</w:t>
            </w:r>
          </w:p>
        </w:tc>
        <w:tc>
          <w:tcPr>
            <w:tcW w:type="dxa" w:w="5040"/>
          </w:tcPr>
          <w:p>
            <w:r>
              <w:t>Support simple IF/AND/THEN rules with 1-3 conditions and one outcome.</w:t>
            </w:r>
          </w:p>
        </w:tc>
      </w:tr>
      <w:tr>
        <w:tc>
          <w:tcPr>
            <w:tcW w:type="dxa" w:w="5040"/>
          </w:tcPr>
          <w:p>
            <w:r>
              <w:t>FR-008</w:t>
            </w:r>
          </w:p>
        </w:tc>
        <w:tc>
          <w:tcPr>
            <w:tcW w:type="dxa" w:w="5040"/>
          </w:tcPr>
          <w:p>
            <w:r>
              <w:t>Generate at least one rule trigger and reasonable one-condition-at-a-time near misses; no exhaustive combinatorics.</w:t>
            </w:r>
          </w:p>
        </w:tc>
      </w:tr>
      <w:tr>
        <w:tc>
          <w:tcPr>
            <w:tcW w:type="dxa" w:w="5040"/>
          </w:tcPr>
          <w:p>
            <w:r>
              <w:t>FR-009</w:t>
            </w:r>
          </w:p>
        </w:tc>
        <w:tc>
          <w:tcPr>
            <w:tcW w:type="dxa" w:w="5040"/>
          </w:tcPr>
          <w:p>
            <w:r>
              <w:t>Deduplicate semantically equivalent cases and apply stable ordering.</w:t>
            </w:r>
          </w:p>
        </w:tc>
      </w:tr>
      <w:tr>
        <w:tc>
          <w:tcPr>
            <w:tcW w:type="dxa" w:w="5040"/>
          </w:tcPr>
          <w:p>
            <w:r>
              <w:t>FR-010</w:t>
            </w:r>
          </w:p>
        </w:tc>
        <w:tc>
          <w:tcPr>
            <w:tcW w:type="dxa" w:w="5040"/>
          </w:tcPr>
          <w:p>
            <w:r>
              <w:t>Display generated cases in an interactive results table with filtering.</w:t>
            </w:r>
          </w:p>
        </w:tc>
      </w:tr>
      <w:tr>
        <w:tc>
          <w:tcPr>
            <w:tcW w:type="dxa" w:w="5040"/>
          </w:tcPr>
          <w:p>
            <w:r>
              <w:t>FR-011</w:t>
            </w:r>
          </w:p>
        </w:tc>
        <w:tc>
          <w:tcPr>
            <w:tcW w:type="dxa" w:w="5040"/>
          </w:tcPr>
          <w:p>
            <w:r>
              <w:t>Export CSV and JSON.</w:t>
            </w:r>
          </w:p>
        </w:tc>
      </w:tr>
      <w:tr>
        <w:tc>
          <w:tcPr>
            <w:tcW w:type="dxa" w:w="5040"/>
          </w:tcPr>
          <w:p>
            <w:r>
              <w:t>FR-012</w:t>
            </w:r>
          </w:p>
        </w:tc>
        <w:tc>
          <w:tcPr>
            <w:tcW w:type="dxa" w:w="5040"/>
          </w:tcPr>
          <w:p>
            <w:r>
              <w:t>Persist the current project to localStorage and restore it safely.</w:t>
            </w:r>
          </w:p>
        </w:tc>
      </w:tr>
      <w:tr>
        <w:tc>
          <w:tcPr>
            <w:tcW w:type="dxa" w:w="5040"/>
          </w:tcPr>
          <w:p>
            <w:r>
              <w:t>FR-013</w:t>
            </w:r>
          </w:p>
        </w:tc>
        <w:tc>
          <w:tcPr>
            <w:tcW w:type="dxa" w:w="5040"/>
          </w:tcPr>
          <w:p>
            <w:r>
              <w:t>Provide built-in examples: Username Validation, Payment Amount, Parcel Weight, Address Length, Boolean Flag and Product Eligibility.</w:t>
            </w:r>
          </w:p>
        </w:tc>
      </w:tr>
      <w:tr>
        <w:tc>
          <w:tcPr>
            <w:tcW w:type="dxa" w:w="5040"/>
          </w:tcPr>
          <w:p>
            <w:r>
              <w:t>FR-014</w:t>
            </w:r>
          </w:p>
        </w:tc>
        <w:tc>
          <w:tcPr>
            <w:tcW w:type="dxa" w:w="5040"/>
          </w:tcPr>
          <w:p>
            <w:r>
              <w:t>Assign final display/export IDs TF-001, TF-002, etc. only after final ordering.</w:t>
            </w:r>
          </w:p>
        </w:tc>
      </w:tr>
    </w:tbl>
    <w:p/>
    <w:p>
      <w:pPr>
        <w:pStyle w:val="Heading1"/>
      </w:pPr>
      <w:r>
        <w:t>6. Generation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Acceptance requirement</w:t>
            </w:r>
          </w:p>
        </w:tc>
      </w:tr>
      <w:tr>
        <w:tc>
          <w:tcPr>
            <w:tcW w:type="dxa" w:w="5040"/>
          </w:tcPr>
          <w:p>
            <w:r>
              <w:t>String</w:t>
            </w:r>
          </w:p>
        </w:tc>
        <w:tc>
          <w:tcPr>
            <w:tcW w:type="dxa" w:w="5040"/>
          </w:tcPr>
          <w:p>
            <w:r>
              <w:t>Valid representative; min-1/min/min+1; max-1/max/max+1; null; empty; whitespace; leading/trailing whitespace; Unicode; emoji; HTML-like; newline/tab; wrong datatype; relevant character-class violations.</w:t>
            </w:r>
          </w:p>
        </w:tc>
      </w:tr>
      <w:tr>
        <w:tc>
          <w:tcPr>
            <w:tcW w:type="dxa" w:w="5040"/>
          </w:tcPr>
          <w:p>
            <w:r>
              <w:t>Integer</w:t>
            </w:r>
          </w:p>
        </w:tc>
        <w:tc>
          <w:tcPr>
            <w:tcW w:type="dxa" w:w="5040"/>
          </w:tcPr>
          <w:p>
            <w:r>
              <w:t>min-1/min/min+1; max-1/max/max+1; midpoint; negative ranges; null; numeric string; alphabetic string; decimal wrong datatype.</w:t>
            </w:r>
          </w:p>
        </w:tc>
      </w:tr>
      <w:tr>
        <w:tc>
          <w:tcPr>
            <w:tcW w:type="dxa" w:w="5040"/>
          </w:tcPr>
          <w:p>
            <w:r>
              <w:t>Decimal</w:t>
            </w:r>
          </w:p>
        </w:tc>
        <w:tc>
          <w:tcPr>
            <w:tcW w:type="dxa" w:w="5040"/>
          </w:tcPr>
          <w:p>
            <w:r>
              <w:t>Exact decimal boundary arithmetic. For 1..500 at 2dp include 0.99,1.00,1.01,499.99,500.00,500.01 without floating-point artifacts.</w:t>
            </w:r>
          </w:p>
        </w:tc>
      </w:tr>
      <w:tr>
        <w:tc>
          <w:tcPr>
            <w:tcW w:type="dxa" w:w="5040"/>
          </w:tcPr>
          <w:p>
            <w:r>
              <w:t>Enum</w:t>
            </w:r>
          </w:p>
        </w:tc>
        <w:tc>
          <w:tcPr>
            <w:tcW w:type="dxa" w:w="5040"/>
          </w:tcPr>
          <w:p>
            <w:r>
              <w:t>Every allowed value plus relevant null/empty/Unknown/case-variant negatives.</w:t>
            </w:r>
          </w:p>
        </w:tc>
      </w:tr>
      <w:tr>
        <w:tc>
          <w:tcPr>
            <w:tcW w:type="dxa" w:w="5040"/>
          </w:tcPr>
          <w:p>
            <w:r>
              <w:t>Boolean</w:t>
            </w:r>
          </w:p>
        </w:tc>
        <w:tc>
          <w:tcPr>
            <w:tcW w:type="dxa" w:w="5040"/>
          </w:tcPr>
          <w:p>
            <w:r>
              <w:t>true/false plus null/'true'/'false'/1/0/'yes'/'no' negative candidates as applicable.</w:t>
            </w:r>
          </w:p>
        </w:tc>
      </w:tr>
    </w:tbl>
    <w:p/>
    <w:p>
      <w:pPr>
        <w:pStyle w:val="Heading1"/>
      </w:pPr>
      <w:r>
        <w:t>7. Business rules</w:t>
      </w:r>
    </w:p>
    <w:p>
      <w:r>
        <w:t>Condition operators: eq, neq, gt, gte, lt, lte, contains, empty, not-empty. Outcome operators: eq, neq, available, unavailable. Rules may reference only project fields. MVP does not support nested expression trees.</w:t>
      </w:r>
    </w:p>
    <w:p>
      <w:pPr>
        <w:pStyle w:val="Heading1"/>
      </w:pPr>
      <w:r>
        <w:t>8. Export requirements</w:t>
      </w:r>
    </w:p>
    <w:p>
      <w:pPr>
        <w:pStyle w:val="ListBullet"/>
      </w:pPr>
      <w:r>
        <w:t>CSV safely escapes commas, quotes, newlines and Unicode.</w:t>
      </w:r>
    </w:p>
    <w:p>
      <w:pPr>
        <w:pStyle w:val="ListBullet"/>
      </w:pPr>
      <w:r>
        <w:t>Spreadsheet-safe mode mitigates formula injection for values beginning with =, +, - or @.</w:t>
      </w:r>
    </w:p>
    <w:p>
      <w:pPr>
        <w:pStyle w:val="ListBullet"/>
      </w:pPr>
      <w:r>
        <w:t>JSON preserves raw values and does not apply spreadsheet escaping.</w:t>
      </w:r>
    </w:p>
    <w:p>
      <w:pPr>
        <w:pStyle w:val="Heading1"/>
      </w:pPr>
      <w:r>
        <w:t>9. Persistence and privacy</w:t>
      </w:r>
    </w:p>
    <w:p>
      <w:r>
        <w:t>Use localStorage key testforge.project.v1 and schema version 1. Autosave should be debounced approximately 500-1000ms. Corrupt/incompatible state must not crash the application.</w:t>
      </w:r>
    </w:p>
    <w:p>
      <w:r>
        <w:t>Required privacy copy: "Test configurations and generated values are processed in your browser and are not uploaded to TestForge."</w:t>
      </w:r>
    </w:p>
    <w:p>
      <w:pPr>
        <w:pStyle w:val="Heading1"/>
      </w:pPr>
      <w:r>
        <w:t>10.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NFR-001</w:t>
            </w:r>
          </w:p>
        </w:tc>
        <w:tc>
          <w:tcPr>
            <w:tcW w:type="dxa" w:w="5040"/>
          </w:tcPr>
          <w:p>
            <w:r>
              <w:t>&lt;=20 fields, &lt;=20 rules and &lt;=1000 generated cases in &lt;500ms on a typical modern desktop.</w:t>
            </w:r>
          </w:p>
        </w:tc>
      </w:tr>
      <w:tr>
        <w:tc>
          <w:tcPr>
            <w:tcW w:type="dxa" w:w="5040"/>
          </w:tcPr>
          <w:p>
            <w:r>
              <w:t>NFR-002</w:t>
            </w:r>
          </w:p>
        </w:tc>
        <w:tc>
          <w:tcPr>
            <w:tcW w:type="dxa" w:w="5040"/>
          </w:tcPr>
          <w:p>
            <w:r>
              <w:t>Latest Chrome/Edge/Firefox/Safari; primary QA focus Chrome/Edge.</w:t>
            </w:r>
          </w:p>
        </w:tc>
      </w:tr>
      <w:tr>
        <w:tc>
          <w:tcPr>
            <w:tcW w:type="dxa" w:w="5040"/>
          </w:tcPr>
          <w:p>
            <w:r>
              <w:t>NFR-003</w:t>
            </w:r>
          </w:p>
        </w:tc>
        <w:tc>
          <w:tcPr>
            <w:tcW w:type="dxa" w:w="5040"/>
          </w:tcPr>
          <w:p>
            <w:r>
              <w:t>Generated HTML/XSS-like values render as text; never use dangerouslySetInnerHTML.</w:t>
            </w:r>
          </w:p>
        </w:tc>
      </w:tr>
      <w:tr>
        <w:tc>
          <w:tcPr>
            <w:tcW w:type="dxa" w:w="5040"/>
          </w:tcPr>
          <w:p>
            <w:r>
              <w:t>NFR-004</w:t>
            </w:r>
          </w:p>
        </w:tc>
        <w:tc>
          <w:tcPr>
            <w:tcW w:type="dxa" w:w="5040"/>
          </w:tcPr>
          <w:p>
            <w:r>
              <w:t>Same normalized input/options produce the same canonical core cases.</w:t>
            </w:r>
          </w:p>
        </w:tc>
      </w:tr>
      <w:tr>
        <w:tc>
          <w:tcPr>
            <w:tcW w:type="dxa" w:w="5040"/>
          </w:tcPr>
          <w:p>
            <w:r>
              <w:t>NFR-005</w:t>
            </w:r>
          </w:p>
        </w:tc>
        <w:tc>
          <w:tcPr>
            <w:tcW w:type="dxa" w:w="5040"/>
          </w:tcPr>
          <w:p>
            <w:r>
              <w:t>Malformed persisted state does not crash the app.</w:t>
            </w:r>
          </w:p>
        </w:tc>
      </w:tr>
      <w:tr>
        <w:tc>
          <w:tcPr>
            <w:tcW w:type="dxa" w:w="5040"/>
          </w:tcPr>
          <w:p>
            <w:r>
              <w:t>NFR-006</w:t>
            </w:r>
          </w:p>
        </w:tc>
        <w:tc>
          <w:tcPr>
            <w:tcW w:type="dxa" w:w="5040"/>
          </w:tcPr>
          <w:p>
            <w:r>
              <w:t>Keyboard-accessible core workflow, labels, focus visibility and readable validation.</w:t>
            </w:r>
          </w:p>
        </w:tc>
      </w:tr>
      <w:tr>
        <w:tc>
          <w:tcPr>
            <w:tcW w:type="dxa" w:w="5040"/>
          </w:tcPr>
          <w:p>
            <w:r>
              <w:t>NFR-007</w:t>
            </w:r>
          </w:p>
        </w:tc>
        <w:tc>
          <w:tcPr>
            <w:tcW w:type="dxa" w:w="5040"/>
          </w:tcPr>
          <w:p>
            <w:r>
              <w:t>Analytics, if later added, never contains field names, rule text or generated values.</w:t>
            </w:r>
          </w:p>
        </w:tc>
      </w:tr>
    </w:tbl>
    <w:p/>
    <w:p>
      <w:pPr>
        <w:pStyle w:val="Heading1"/>
      </w:pPr>
      <w:r>
        <w:t>11. MVP exclusions</w:t>
      </w:r>
    </w:p>
    <w:p>
      <w:pPr>
        <w:pStyle w:val="ListBullet"/>
      </w:pPr>
      <w:r>
        <w:t>Authentication/accounts; payment/subscriptions/billing; backend DB/cloud project storage.</w:t>
      </w:r>
    </w:p>
    <w:p>
      <w:pPr>
        <w:pStyle w:val="ListBullet"/>
      </w:pPr>
      <w:r>
        <w:t>AI/LLM generation; Jira/TestMo/TestRail APIs; native Postman/Cypress/Playwright adapters.</w:t>
      </w:r>
    </w:p>
    <w:p>
      <w:pPr>
        <w:pStyle w:val="ListBullet"/>
      </w:pPr>
      <w:r>
        <w:t>Excel/PDF/OpenAPI/JSON Schema import/export; regex generation; pairwise/N-way; collaboration/RBAC.</w:t>
      </w:r>
    </w:p>
    <w:p>
      <w:pPr>
        <w:pStyle w:val="Heading1"/>
      </w:pPr>
      <w:r>
        <w:t>12. MVP Definition of Done</w:t>
      </w:r>
    </w:p>
    <w:p>
      <w:pPr>
        <w:pStyle w:val="ListBullet"/>
      </w:pPr>
      <w:r>
        <w:t>All five field types and simple rules meet documented acceptance criteria.</w:t>
      </w:r>
    </w:p>
    <w:p>
      <w:pPr>
        <w:pStyle w:val="ListBullet"/>
      </w:pPr>
      <w:r>
        <w:t>CSV/JSON, persistence, examples, filters and privacy messaging work.</w:t>
      </w:r>
    </w:p>
    <w:p>
      <w:pPr>
        <w:pStyle w:val="ListBullet"/>
      </w:pPr>
      <w:r>
        <w:t>Vitest core suites and Cypress critical E2E pass; Postman is not a release blocker while no TestForge backend API exists.</w:t>
      </w:r>
    </w:p>
    <w:p>
      <w:pPr>
        <w:pStyle w:val="ListBullet"/>
      </w:pPr>
      <w:r>
        <w:t>npm test, typecheck, lint and production build pass.</w:t>
      </w:r>
    </w:p>
    <w:p>
      <w:pPr>
        <w:pStyle w:val="ListBullet"/>
      </w:pPr>
      <w:r>
        <w:t>Cloud deployment and production smoke pass.</w:t>
      </w:r>
    </w:p>
    <w:p>
      <w:pPr>
        <w:pStyle w:val="ListBullet"/>
      </w:pPr>
      <w:r>
        <w:t>No post-MVP/payment functionality is accidentally included.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