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TestForge QA - Product Roadmap &amp; Commercial Plan</w:t>
      </w:r>
    </w:p>
    <w:p>
      <w:pPr>
        <w:jc w:val="center"/>
      </w:pPr>
      <w:r>
        <w:rPr>
          <w:b/>
        </w:rPr>
        <w:t>TFQ-RMAP-001 | Version 1.0 | Controlled - MVP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Document ID</w:t>
            </w:r>
          </w:p>
        </w:tc>
        <w:tc>
          <w:tcPr>
            <w:tcW w:type="dxa" w:w="2520"/>
          </w:tcPr>
          <w:p>
            <w:r>
              <w:t>TFQ-RMAP-001</w:t>
            </w:r>
          </w:p>
        </w:tc>
        <w:tc>
          <w:tcPr>
            <w:tcW w:type="dxa" w:w="2520"/>
          </w:tcPr>
          <w:p>
            <w:r>
              <w:rPr>
                <w:b/>
              </w:rPr>
              <w:t>Version</w:t>
            </w:r>
          </w:p>
        </w:tc>
        <w:tc>
          <w:tcPr>
            <w:tcW w:type="dxa" w:w="2520"/>
          </w:tcPr>
          <w:p>
            <w:r>
              <w:t>1.0</w:t>
            </w:r>
          </w:p>
        </w:tc>
      </w:tr>
      <w:tr>
        <w:tc>
          <w:tcPr>
            <w:tcW w:type="dxa" w:w="2520"/>
          </w:tcPr>
          <w:p>
            <w:r>
              <w:rPr>
                <w:b/>
              </w:rPr>
              <w:t>Status</w:t>
            </w:r>
          </w:p>
        </w:tc>
        <w:tc>
          <w:tcPr>
            <w:tcW w:type="dxa" w:w="2520"/>
          </w:tcPr>
          <w:p>
            <w:r>
              <w:t>Controlled - MVP Baseline</w:t>
            </w:r>
          </w:p>
        </w:tc>
        <w:tc>
          <w:tcPr>
            <w:tcW w:type="dxa" w:w="2520"/>
          </w:tcPr>
          <w:p>
            <w:r>
              <w:rPr>
                <w:b/>
              </w:rPr>
              <w:t>Product</w:t>
            </w:r>
          </w:p>
        </w:tc>
        <w:tc>
          <w:tcPr>
            <w:tcW w:type="dxa" w:w="2520"/>
          </w:tcPr>
          <w:p>
            <w:r>
              <w:t>TestForge QA</w:t>
            </w:r>
          </w:p>
        </w:tc>
      </w:tr>
      <w:tr>
        <w:tc>
          <w:tcPr>
            <w:tcW w:type="dxa" w:w="2520"/>
          </w:tcPr>
          <w:p>
            <w:r>
              <w:rPr>
                <w:b/>
              </w:rPr>
              <w:t>Owner</w:t>
            </w:r>
          </w:p>
        </w:tc>
        <w:tc>
          <w:tcPr>
            <w:tcW w:type="dxa" w:w="2520"/>
          </w:tcPr>
          <w:p>
            <w:r>
              <w:t>Product / Business Owner</w:t>
            </w:r>
          </w:p>
        </w:tc>
        <w:tc>
          <w:tcPr>
            <w:tcW w:type="dxa" w:w="2520"/>
          </w:tcPr>
          <w:p>
            <w:r>
              <w:rPr>
                <w:b/>
              </w:rPr>
              <w:t>Applies to</w:t>
            </w:r>
          </w:p>
        </w:tc>
        <w:tc>
          <w:tcPr>
            <w:tcW w:type="dxa" w:w="2520"/>
          </w:tcPr>
          <w:p>
            <w:r>
              <w:t>MVP 1.0</w:t>
            </w:r>
          </w:p>
        </w:tc>
      </w:tr>
      <w:tr>
        <w:tc>
          <w:tcPr>
            <w:tcW w:type="dxa" w:w="2520"/>
          </w:tcPr>
          <w:p>
            <w:r>
              <w:rPr>
                <w:b/>
              </w:rPr>
              <w:t>Classification</w:t>
            </w:r>
          </w:p>
        </w:tc>
        <w:tc>
          <w:tcPr>
            <w:tcW w:type="dxa" w:w="2520"/>
          </w:tcPr>
          <w:p>
            <w:r>
              <w:t>Internal / Development Baseline</w:t>
            </w:r>
          </w:p>
        </w:tc>
        <w:tc>
          <w:tcPr>
            <w:tcW w:type="dxa" w:w="2520"/>
          </w:tcPr>
          <w:p>
            <w:r>
              <w:rPr>
                <w:b/>
              </w:rPr>
              <w:t>Review trigger</w:t>
            </w:r>
          </w:p>
        </w:tc>
        <w:tc>
          <w:tcPr>
            <w:tcW w:type="dxa" w:w="2520"/>
          </w:tcPr>
          <w:p>
            <w:r>
              <w:t>Any approved scope/architecture change</w:t>
            </w:r>
          </w:p>
        </w:tc>
      </w:tr>
    </w:tbl>
    <w:p/>
    <w:p>
      <w:pPr>
        <w:pStyle w:val="Heading1"/>
      </w:pPr>
      <w:r>
        <w:t>1. Product strategy</w:t>
      </w:r>
    </w:p>
    <w:p>
      <w:r>
        <w:t>The free MVP validates the core deterministic QA value proposition before introducing billing and account complexity. Monetization should focus on productivity, advanced techniques, reusable assets and integrations rather than making the correctness of basic generation a paid feature.</w:t>
      </w:r>
    </w:p>
    <w:p>
      <w:pPr>
        <w:pStyle w:val="Heading1"/>
      </w:pPr>
      <w:r>
        <w:t>2. MVP 1.0 - Free</w:t>
      </w:r>
    </w:p>
    <w:p>
      <w:pPr>
        <w:pStyle w:val="ListBullet"/>
      </w:pPr>
      <w:r>
        <w:t>Five field types and deterministic QA generation.</w:t>
      </w:r>
    </w:p>
    <w:p>
      <w:pPr>
        <w:pStyle w:val="ListBullet"/>
      </w:pPr>
      <w:r>
        <w:t>Simple business-rule generation.</w:t>
      </w:r>
    </w:p>
    <w:p>
      <w:pPr>
        <w:pStyle w:val="ListBullet"/>
      </w:pPr>
      <w:r>
        <w:t>Results table, filters, CSV/JSON.</w:t>
      </w:r>
    </w:p>
    <w:p>
      <w:pPr>
        <w:pStyle w:val="ListBullet"/>
      </w:pPr>
      <w:r>
        <w:t>Browser localStorage.</w:t>
      </w:r>
    </w:p>
    <w:p>
      <w:pPr>
        <w:pStyle w:val="ListBullet"/>
      </w:pPr>
      <w:r>
        <w:t>Examples, privacy/about, responsive/accessibility baseline.</w:t>
      </w:r>
    </w:p>
    <w:p>
      <w:pPr>
        <w:pStyle w:val="ListBullet"/>
      </w:pPr>
      <w:r>
        <w:t>Vitest + Cypress quality gates.</w:t>
      </w:r>
    </w:p>
    <w:p>
      <w:pPr>
        <w:pStyle w:val="ListBullet"/>
      </w:pPr>
      <w:r>
        <w:t>No account, payment or backend.</w:t>
      </w:r>
    </w:p>
    <w:p>
      <w:pPr>
        <w:pStyle w:val="Heading1"/>
      </w:pPr>
      <w:r>
        <w:t>3. Post-MVP validation</w:t>
      </w:r>
    </w:p>
    <w:p>
      <w:pPr>
        <w:pStyle w:val="ListBullet"/>
      </w:pPr>
      <w:r>
        <w:t>Collect non-sensitive aggregate usage signals only if privacy design is approved.</w:t>
      </w:r>
    </w:p>
    <w:p>
      <w:pPr>
        <w:pStyle w:val="ListBullet"/>
      </w:pPr>
      <w:r>
        <w:t>Evaluate which workflows create repeat usage: reusable projects, advanced rule libraries, exports and integrations.</w:t>
      </w:r>
    </w:p>
    <w:p>
      <w:pPr>
        <w:pStyle w:val="ListBullet"/>
      </w:pPr>
      <w:r>
        <w:t>Harden deployment/CI and improve onboarding before adding billing.</w:t>
      </w:r>
    </w:p>
    <w:p>
      <w:pPr>
        <w:pStyle w:val="Heading1"/>
      </w:pPr>
      <w:r>
        <w:t>4. Paid phase - planned direction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Commercial rationale</w:t>
            </w:r>
          </w:p>
        </w:tc>
      </w:tr>
      <w:tr>
        <w:tc>
          <w:tcPr>
            <w:tcW w:type="dxa" w:w="5040"/>
          </w:tcPr>
          <w:p>
            <w:r>
              <w:t>Accounts / cloud projects</w:t>
            </w:r>
          </w:p>
        </w:tc>
        <w:tc>
          <w:tcPr>
            <w:tcW w:type="dxa" w:w="5040"/>
          </w:tcPr>
          <w:p>
            <w:r>
              <w:t>Cross-device persistence and reusable work.</w:t>
            </w:r>
          </w:p>
        </w:tc>
      </w:tr>
      <w:tr>
        <w:tc>
          <w:tcPr>
            <w:tcW w:type="dxa" w:w="5040"/>
          </w:tcPr>
          <w:p>
            <w:r>
              <w:t>Payment/subscription + entitlements</w:t>
            </w:r>
          </w:p>
        </w:tc>
        <w:tc>
          <w:tcPr>
            <w:tcW w:type="dxa" w:w="5040"/>
          </w:tcPr>
          <w:p>
            <w:r>
              <w:t>Monetization foundation after MVP validation.</w:t>
            </w:r>
          </w:p>
        </w:tc>
      </w:tr>
      <w:tr>
        <w:tc>
          <w:tcPr>
            <w:tcW w:type="dxa" w:w="5040"/>
          </w:tcPr>
          <w:p>
            <w:r>
              <w:t>Premium rule packs</w:t>
            </w:r>
          </w:p>
        </w:tc>
        <w:tc>
          <w:tcPr>
            <w:tcW w:type="dxa" w:w="5040"/>
          </w:tcPr>
          <w:p>
            <w:r>
              <w:t>Reusable domain-specific QA knowledge.</w:t>
            </w:r>
          </w:p>
        </w:tc>
      </w:tr>
      <w:tr>
        <w:tc>
          <w:tcPr>
            <w:tcW w:type="dxa" w:w="5040"/>
          </w:tcPr>
          <w:p>
            <w:r>
              <w:t>Advanced combinatorial generation</w:t>
            </w:r>
          </w:p>
        </w:tc>
        <w:tc>
          <w:tcPr>
            <w:tcW w:type="dxa" w:w="5040"/>
          </w:tcPr>
          <w:p>
            <w:r>
              <w:t>Higher-value coverage for professional QA teams.</w:t>
            </w:r>
          </w:p>
        </w:tc>
      </w:tr>
      <w:tr>
        <w:tc>
          <w:tcPr>
            <w:tcW w:type="dxa" w:w="5040"/>
          </w:tcPr>
          <w:p>
            <w:r>
              <w:t>Destination adapters</w:t>
            </w:r>
          </w:p>
        </w:tc>
        <w:tc>
          <w:tcPr>
            <w:tcW w:type="dxa" w:w="5040"/>
          </w:tcPr>
          <w:p>
            <w:r>
              <w:t>TestMo/TestRail/Postman/Cypress/Playwright productivity.</w:t>
            </w:r>
          </w:p>
        </w:tc>
      </w:tr>
      <w:tr>
        <w:tc>
          <w:tcPr>
            <w:tcW w:type="dxa" w:w="5040"/>
          </w:tcPr>
          <w:p>
            <w:r>
              <w:t>Team workspaces</w:t>
            </w:r>
          </w:p>
        </w:tc>
        <w:tc>
          <w:tcPr>
            <w:tcW w:type="dxa" w:w="5040"/>
          </w:tcPr>
          <w:p>
            <w:r>
              <w:t>Collaboration, shared rules/projects and governance.</w:t>
            </w:r>
          </w:p>
        </w:tc>
      </w:tr>
      <w:tr>
        <w:tc>
          <w:tcPr>
            <w:tcW w:type="dxa" w:w="5040"/>
          </w:tcPr>
          <w:p>
            <w:r>
              <w:t>Schema imports</w:t>
            </w:r>
          </w:p>
        </w:tc>
        <w:tc>
          <w:tcPr>
            <w:tcW w:type="dxa" w:w="5040"/>
          </w:tcPr>
          <w:p>
            <w:r>
              <w:t>OpenAPI/JSON Schema acceleration.</w:t>
            </w:r>
          </w:p>
        </w:tc>
      </w:tr>
      <w:tr>
        <w:tc>
          <w:tcPr>
            <w:tcW w:type="dxa" w:w="5040"/>
          </w:tcPr>
          <w:p>
            <w:r>
              <w:t>AI-assisted parsing</w:t>
            </w:r>
          </w:p>
        </w:tc>
        <w:tc>
          <w:tcPr>
            <w:tcW w:type="dxa" w:w="5040"/>
          </w:tcPr>
          <w:p>
            <w:r>
              <w:t>Requirements -&gt; proposed structured fields/rules -&gt; human approval -&gt; deterministic generation.</w:t>
            </w:r>
          </w:p>
        </w:tc>
      </w:tr>
    </w:tbl>
    <w:p/>
    <w:p>
      <w:pPr>
        <w:pStyle w:val="Heading1"/>
      </w:pPr>
      <w:r>
        <w:t>5. Payment design principles</w:t>
      </w:r>
    </w:p>
    <w:p>
      <w:pPr>
        <w:pStyle w:val="ListBullet"/>
      </w:pPr>
      <w:r>
        <w:t>Billing/entitlement services are separate from the deterministic generation engine.</w:t>
      </w:r>
    </w:p>
    <w:p>
      <w:pPr>
        <w:pStyle w:val="ListBullet"/>
      </w:pPr>
      <w:r>
        <w:t>Payment outage must not corrupt project definitions.</w:t>
      </w:r>
    </w:p>
    <w:p>
      <w:pPr>
        <w:pStyle w:val="ListBullet"/>
      </w:pPr>
      <w:r>
        <w:t>Premium checks occur at feature boundaries, not inside low-level generators.</w:t>
      </w:r>
    </w:p>
    <w:p>
      <w:pPr>
        <w:pStyle w:val="ListBullet"/>
      </w:pPr>
      <w:r>
        <w:t>Payment/webhook APIs require Postman/Newman contract tests and secure secret management.</w:t>
      </w:r>
    </w:p>
    <w:p>
      <w:pPr>
        <w:pStyle w:val="ListBullet"/>
      </w:pPr>
      <w:r>
        <w:t>Exact price, packaging and limits remain a separate future business decision.</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