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TestForge QA - Change Log &amp; Decision Register</w:t>
      </w:r>
    </w:p>
    <w:p>
      <w:pPr>
        <w:jc w:val="center"/>
      </w:pPr>
      <w:r>
        <w:rPr>
          <w:b/>
        </w:rPr>
        <w:t>TFQ-CHG-001 | Version 1.0 | Controlled - MVP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520"/>
          </w:tcPr>
          <w:p>
            <w:r>
              <w:t>TFQ-CHG-001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</w:tcPr>
          <w:p>
            <w:r>
              <w:t>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t>Controlled - MVP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520"/>
          </w:tcPr>
          <w:p>
            <w:r>
              <w:t>TestForge QA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</w:tcPr>
          <w:p>
            <w:r>
              <w:t>Product / Business Owner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20"/>
          </w:tcPr>
          <w:p>
            <w:r>
              <w:t>MVP 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20"/>
          </w:tcPr>
          <w:p>
            <w:r>
              <w:t>Internal / Development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Review trigger</w:t>
            </w:r>
          </w:p>
        </w:tc>
        <w:tc>
          <w:tcPr>
            <w:tcW w:type="dxa" w:w="2520"/>
          </w:tcPr>
          <w:p>
            <w:r>
              <w:t>Any approved scope/architecture change</w:t>
            </w:r>
          </w:p>
        </w:tc>
      </w:tr>
    </w:tbl>
    <w:p/>
    <w:p>
      <w:pPr>
        <w:pStyle w:val="Heading1"/>
      </w:pPr>
      <w:r>
        <w:t>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Document(s)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Decision / approval</w:t>
            </w:r>
          </w:p>
        </w:tc>
      </w:tr>
      <w:tr>
        <w:tc>
          <w:tcPr>
            <w:tcW w:type="dxa" w:w="2016"/>
          </w:tcPr>
          <w:p>
            <w:r>
              <w:t>1.0</w:t>
            </w:r>
          </w:p>
        </w:tc>
        <w:tc>
          <w:tcPr>
            <w:tcW w:type="dxa" w:w="2016"/>
          </w:tcPr>
          <w:p>
            <w:r>
              <w:t>2026-09-22</w:t>
            </w:r>
          </w:p>
        </w:tc>
        <w:tc>
          <w:tcPr>
            <w:tcW w:type="dxa" w:w="2016"/>
          </w:tcPr>
          <w:p>
            <w:r>
              <w:t>Controlled documentation set</w:t>
            </w:r>
          </w:p>
        </w:tc>
        <w:tc>
          <w:tcPr>
            <w:tcW w:type="dxa" w:w="2016"/>
          </w:tcPr>
          <w:p>
            <w:r>
              <w:t>Established MVP baseline: free browser-local product, deterministic generation, Vitest/Cypress strategy, future Postman/API testing and post-MVP payment direction.</w:t>
            </w:r>
          </w:p>
        </w:tc>
        <w:tc>
          <w:tcPr>
            <w:tcW w:type="dxa" w:w="2016"/>
          </w:tcPr>
          <w:p>
            <w:r>
              <w:t>Product / Business Owner baseline</w:t>
            </w:r>
          </w:p>
        </w:tc>
      </w:tr>
    </w:tbl>
    <w:p/>
    <w:p>
      <w:pPr>
        <w:pStyle w:val="Heading1"/>
      </w:pPr>
      <w:r>
        <w:t>2. Product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Decision ID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</w:tcPr>
          <w:p>
            <w:r>
              <w:t>ADR-P001</w:t>
            </w:r>
          </w:p>
        </w:tc>
        <w:tc>
          <w:tcPr>
            <w:tcW w:type="dxa" w:w="3360"/>
          </w:tcPr>
          <w:p>
            <w:r>
              <w:t>MVP is free with no payment/auth/backend.</w:t>
            </w:r>
          </w:p>
        </w:tc>
        <w:tc>
          <w:tcPr>
            <w:tcW w:type="dxa" w:w="3360"/>
          </w:tcPr>
          <w:p>
            <w:r>
              <w:t>Validate product value and minimize operational complexity.</w:t>
            </w:r>
          </w:p>
        </w:tc>
      </w:tr>
      <w:tr>
        <w:tc>
          <w:tcPr>
            <w:tcW w:type="dxa" w:w="3360"/>
          </w:tcPr>
          <w:p>
            <w:r>
              <w:t>ADR-P002</w:t>
            </w:r>
          </w:p>
        </w:tc>
        <w:tc>
          <w:tcPr>
            <w:tcW w:type="dxa" w:w="3360"/>
          </w:tcPr>
          <w:p>
            <w:r>
              <w:t>Deterministic engine is the source of truth.</w:t>
            </w:r>
          </w:p>
        </w:tc>
        <w:tc>
          <w:tcPr>
            <w:tcW w:type="dxa" w:w="3360"/>
          </w:tcPr>
          <w:p>
            <w:r>
              <w:t>Reproducibility, explainability and automation suitability.</w:t>
            </w:r>
          </w:p>
        </w:tc>
      </w:tr>
      <w:tr>
        <w:tc>
          <w:tcPr>
            <w:tcW w:type="dxa" w:w="3360"/>
          </w:tcPr>
          <w:p>
            <w:r>
              <w:t>ADR-P003</w:t>
            </w:r>
          </w:p>
        </w:tc>
        <w:tc>
          <w:tcPr>
            <w:tcW w:type="dxa" w:w="3360"/>
          </w:tcPr>
          <w:p>
            <w:r>
              <w:t>localStorage for MVP persistence.</w:t>
            </w:r>
          </w:p>
        </w:tc>
        <w:tc>
          <w:tcPr>
            <w:tcW w:type="dxa" w:w="3360"/>
          </w:tcPr>
          <w:p>
            <w:r>
              <w:t>Useful persistence without account/backend cost.</w:t>
            </w:r>
          </w:p>
        </w:tc>
      </w:tr>
      <w:tr>
        <w:tc>
          <w:tcPr>
            <w:tcW w:type="dxa" w:w="3360"/>
          </w:tcPr>
          <w:p>
            <w:r>
              <w:t>ADR-P004</w:t>
            </w:r>
          </w:p>
        </w:tc>
        <w:tc>
          <w:tcPr>
            <w:tcW w:type="dxa" w:w="3360"/>
          </w:tcPr>
          <w:p>
            <w:r>
              <w:t>Postman is not an MVP blocker without an API.</w:t>
            </w:r>
          </w:p>
        </w:tc>
        <w:tc>
          <w:tcPr>
            <w:tcW w:type="dxa" w:w="3360"/>
          </w:tcPr>
          <w:p>
            <w:r>
              <w:t>Avoid inventing unnecessary backend scope.</w:t>
            </w:r>
          </w:p>
        </w:tc>
      </w:tr>
      <w:tr>
        <w:tc>
          <w:tcPr>
            <w:tcW w:type="dxa" w:w="3360"/>
          </w:tcPr>
          <w:p>
            <w:r>
              <w:t>ADR-P005</w:t>
            </w:r>
          </w:p>
        </w:tc>
        <w:tc>
          <w:tcPr>
            <w:tcW w:type="dxa" w:w="3360"/>
          </w:tcPr>
          <w:p>
            <w:r>
              <w:t>Future AI parses into structured rules; human approves; deterministic engine generates.</w:t>
            </w:r>
          </w:p>
        </w:tc>
        <w:tc>
          <w:tcPr>
            <w:tcW w:type="dxa" w:w="3360"/>
          </w:tcPr>
          <w:p>
            <w:r>
              <w:t>Retains explainability and control.</w:t>
            </w:r>
          </w:p>
        </w:tc>
      </w:tr>
      <w:tr>
        <w:tc>
          <w:tcPr>
            <w:tcW w:type="dxa" w:w="3360"/>
          </w:tcPr>
          <w:p>
            <w:r>
              <w:t>ADR-P006</w:t>
            </w:r>
          </w:p>
        </w:tc>
        <w:tc>
          <w:tcPr>
            <w:tcW w:type="dxa" w:w="3360"/>
          </w:tcPr>
          <w:p>
            <w:r>
              <w:t>Future payment remains outside generator internals.</w:t>
            </w:r>
          </w:p>
        </w:tc>
        <w:tc>
          <w:tcPr>
            <w:tcW w:type="dxa" w:w="3360"/>
          </w:tcPr>
          <w:p>
            <w:r>
              <w:t>Preserves clean architecture and product reliability.</w:t>
            </w:r>
          </w:p>
        </w:tc>
      </w:tr>
    </w:tbl>
    <w:p/>
    <w:p>
      <w:pPr>
        <w:pStyle w:val="Heading1"/>
      </w:pPr>
      <w:r>
        <w:t>3. Change request template</w:t>
      </w:r>
    </w:p>
    <w:p>
      <w:pPr>
        <w:pStyle w:val="Code"/>
      </w:pPr>
      <w:r>
        <w:t>Change ID:</w:t>
        <w:br/>
        <w:t>Requested by:</w:t>
        <w:br/>
        <w:t>Date:</w:t>
        <w:br/>
        <w:t>Affected requirement/document:</w:t>
        <w:br/>
        <w:t>Current behavior:</w:t>
        <w:br/>
        <w:t>Proposed behavior:</w:t>
        <w:br/>
        <w:t>Business reason:</w:t>
        <w:br/>
        <w:t>MVP or post-MVP:</w:t>
        <w:br/>
        <w:t>Architecture impact:</w:t>
        <w:br/>
        <w:t>Test impact:</w:t>
        <w:br/>
        <w:t>Security/privacy impact:</w:t>
        <w:br/>
        <w:t>Decision: Approved / Rejected / Deferred</w:t>
        <w:br/>
        <w:t>Approved by:</w:t>
        <w:br/>
        <w:t>Target ticket/PR: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