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TestForge QA - QA &amp; Automation Strategy</w:t>
      </w:r>
    </w:p>
    <w:p>
      <w:pPr>
        <w:jc w:val="center"/>
      </w:pPr>
      <w:r>
        <w:rPr>
          <w:b/>
        </w:rPr>
        <w:t>TFQ-TEST-001 | Version 1.0 | Controlled - MVP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2520"/>
          </w:tcPr>
          <w:p>
            <w:r>
              <w:t>TFQ-TEST-001</w:t>
            </w:r>
          </w:p>
        </w:tc>
        <w:tc>
          <w:tcPr>
            <w:tcW w:type="dxa" w:w="25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520"/>
          </w:tcPr>
          <w:p>
            <w:r>
              <w:t>1.0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520"/>
          </w:tcPr>
          <w:p>
            <w:r>
              <w:t>Controlled - MVP Baseline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520"/>
          </w:tcPr>
          <w:p>
            <w:r>
              <w:t>TestForge QA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520"/>
          </w:tcPr>
          <w:p>
            <w:r>
              <w:t>Product / Business Owner</w:t>
            </w:r>
          </w:p>
        </w:tc>
        <w:tc>
          <w:tcPr>
            <w:tcW w:type="dxa" w:w="25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2520"/>
          </w:tcPr>
          <w:p>
            <w:r>
              <w:t>MVP 1.0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520"/>
          </w:tcPr>
          <w:p>
            <w:r>
              <w:t>Internal / Development Baseline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Review trigger</w:t>
            </w:r>
          </w:p>
        </w:tc>
        <w:tc>
          <w:tcPr>
            <w:tcW w:type="dxa" w:w="2520"/>
          </w:tcPr>
          <w:p>
            <w:r>
              <w:t>Any approved scope/architecture change</w:t>
            </w:r>
          </w:p>
        </w:tc>
      </w:tr>
    </w:tbl>
    <w:p/>
    <w:p>
      <w:pPr>
        <w:pStyle w:val="Heading1"/>
      </w:pPr>
      <w:r>
        <w:t>1. Purpose</w:t>
      </w:r>
    </w:p>
    <w:p>
      <w:r>
        <w:t>Define mandatory verification for the MVP and the future API/payment phase. Testing follows a pyramid: extensive deterministic unit coverage, focused browser E2E coverage, and API contract/regression testing only when APIs exist.</w:t>
      </w:r>
    </w:p>
    <w:p>
      <w:pPr>
        <w:pStyle w:val="Heading1"/>
      </w:pPr>
      <w:r>
        <w:t>2. Unit tests - Vitest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Required coverage</w:t>
            </w:r>
          </w:p>
        </w:tc>
      </w:tr>
      <w:tr>
        <w:tc>
          <w:tcPr>
            <w:tcW w:type="dxa" w:w="5040"/>
          </w:tcPr>
          <w:p>
            <w:r>
              <w:t>Registry/dispatcher</w:t>
            </w:r>
          </w:p>
        </w:tc>
        <w:tc>
          <w:tcPr>
            <w:tcW w:type="dxa" w:w="5040"/>
          </w:tcPr>
          <w:p>
            <w:r>
              <w:t>Register, duplicate instance protection, dispatch, unsupported GeneratorError.</w:t>
            </w:r>
          </w:p>
        </w:tc>
      </w:tr>
      <w:tr>
        <w:tc>
          <w:tcPr>
            <w:tcW w:type="dxa" w:w="5040"/>
          </w:tcPr>
          <w:p>
            <w:r>
              <w:t>String</w:t>
            </w:r>
          </w:p>
        </w:tc>
        <w:tc>
          <w:tcPr>
            <w:tcW w:type="dxa" w:w="5040"/>
          </w:tcPr>
          <w:p>
            <w:r>
              <w:t>supports, BVA, null/empty, whitespace, Unicode, special, wrong datatype, options, metadata, determinism, dedup.</w:t>
            </w:r>
          </w:p>
        </w:tc>
      </w:tr>
      <w:tr>
        <w:tc>
          <w:tcPr>
            <w:tcW w:type="dxa" w:w="5040"/>
          </w:tcPr>
          <w:p>
            <w:r>
              <w:t>Integer</w:t>
            </w:r>
          </w:p>
        </w:tc>
        <w:tc>
          <w:tcPr>
            <w:tcW w:type="dxa" w:w="5040"/>
          </w:tcPr>
          <w:p>
            <w:r>
              <w:t>Boundaries, midpoint, negative ranges, wrong types.</w:t>
            </w:r>
          </w:p>
        </w:tc>
      </w:tr>
      <w:tr>
        <w:tc>
          <w:tcPr>
            <w:tcW w:type="dxa" w:w="5040"/>
          </w:tcPr>
          <w:p>
            <w:r>
              <w:t>Decimal</w:t>
            </w:r>
          </w:p>
        </w:tc>
        <w:tc>
          <w:tcPr>
            <w:tcW w:type="dxa" w:w="5040"/>
          </w:tcPr>
          <w:p>
            <w:r>
              <w:t>Exact decimal boundaries, decimalPlaces, floating-point regression.</w:t>
            </w:r>
          </w:p>
        </w:tc>
      </w:tr>
      <w:tr>
        <w:tc>
          <w:tcPr>
            <w:tcW w:type="dxa" w:w="5040"/>
          </w:tcPr>
          <w:p>
            <w:r>
              <w:t>Enum</w:t>
            </w:r>
          </w:p>
        </w:tc>
        <w:tc>
          <w:tcPr>
            <w:tcW w:type="dxa" w:w="5040"/>
          </w:tcPr>
          <w:p>
            <w:r>
              <w:t>Allowed and invalid values, case variants, null/empty.</w:t>
            </w:r>
          </w:p>
        </w:tc>
      </w:tr>
      <w:tr>
        <w:tc>
          <w:tcPr>
            <w:tcW w:type="dxa" w:w="5040"/>
          </w:tcPr>
          <w:p>
            <w:r>
              <w:t>Boolean</w:t>
            </w:r>
          </w:p>
        </w:tc>
        <w:tc>
          <w:tcPr>
            <w:tcW w:type="dxa" w:w="5040"/>
          </w:tcPr>
          <w:p>
            <w:r>
              <w:t>true/false and wrong-type negatives.</w:t>
            </w:r>
          </w:p>
        </w:tc>
      </w:tr>
      <w:tr>
        <w:tc>
          <w:tcPr>
            <w:tcW w:type="dxa" w:w="5040"/>
          </w:tcPr>
          <w:p>
            <w:r>
              <w:t>Validation</w:t>
            </w:r>
          </w:p>
        </w:tc>
        <w:tc>
          <w:tcPr>
            <w:tcW w:type="dxa" w:w="5040"/>
          </w:tcPr>
          <w:p>
            <w:r>
              <w:t>min/max, minLength/maxLength, decimalPlaces, enum values, rule references/condition limits.</w:t>
            </w:r>
          </w:p>
        </w:tc>
      </w:tr>
      <w:tr>
        <w:tc>
          <w:tcPr>
            <w:tcW w:type="dxa" w:w="5040"/>
          </w:tcPr>
          <w:p>
            <w:r>
              <w:t>Rules</w:t>
            </w:r>
          </w:p>
        </w:tc>
        <w:tc>
          <w:tcPr>
            <w:tcW w:type="dxa" w:w="5040"/>
          </w:tcPr>
          <w:p>
            <w:r>
              <w:t>All operators, trigger, near miss, invalid references.</w:t>
            </w:r>
          </w:p>
        </w:tc>
      </w:tr>
      <w:tr>
        <w:tc>
          <w:tcPr>
            <w:tcW w:type="dxa" w:w="5040"/>
          </w:tcPr>
          <w:p>
            <w:r>
              <w:t>Export</w:t>
            </w:r>
          </w:p>
        </w:tc>
        <w:tc>
          <w:tcPr>
            <w:tcW w:type="dxa" w:w="5040"/>
          </w:tcPr>
          <w:p>
            <w:r>
              <w:t>CSV escaping, Unicode, newline, quotes, formula injection, JSON raw preservation.</w:t>
            </w:r>
          </w:p>
        </w:tc>
      </w:tr>
      <w:tr>
        <w:tc>
          <w:tcPr>
            <w:tcW w:type="dxa" w:w="5040"/>
          </w:tcPr>
          <w:p>
            <w:r>
              <w:t>Persistence</w:t>
            </w:r>
          </w:p>
        </w:tc>
        <w:tc>
          <w:tcPr>
            <w:tcW w:type="dxa" w:w="5040"/>
          </w:tcPr>
          <w:p>
            <w:r>
              <w:t>Save/restore, schema version, corrupt state.</w:t>
            </w:r>
          </w:p>
        </w:tc>
      </w:tr>
    </w:tbl>
    <w:p/>
    <w:p>
      <w:r>
        <w:t>Unit gate: npm test must complete with zero failed tests.</w:t>
      </w:r>
    </w:p>
    <w:p>
      <w:pPr>
        <w:pStyle w:val="Heading1"/>
      </w:pPr>
      <w:r>
        <w:t>3. UI/E2E - Cypress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5040"/>
          </w:tcPr>
          <w:p>
            <w:r>
              <w:t>Landing</w:t>
            </w:r>
          </w:p>
        </w:tc>
        <w:tc>
          <w:tcPr>
            <w:tcW w:type="dxa" w:w="5040"/>
          </w:tcPr>
          <w:p>
            <w:r>
              <w:t>Product/free-MVP/local-processing proposition and CTA.</w:t>
            </w:r>
          </w:p>
        </w:tc>
      </w:tr>
      <w:tr>
        <w:tc>
          <w:tcPr>
            <w:tcW w:type="dxa" w:w="5040"/>
          </w:tcPr>
          <w:p>
            <w:r>
              <w:t>Field configuration</w:t>
            </w:r>
          </w:p>
        </w:tc>
        <w:tc>
          <w:tcPr>
            <w:tcW w:type="dxa" w:w="5040"/>
          </w:tcPr>
          <w:p>
            <w:r>
              <w:t>Create/edit field and relevant constraints.</w:t>
            </w:r>
          </w:p>
        </w:tc>
      </w:tr>
      <w:tr>
        <w:tc>
          <w:tcPr>
            <w:tcW w:type="dxa" w:w="5040"/>
          </w:tcPr>
          <w:p>
            <w:r>
              <w:t>Validation</w:t>
            </w:r>
          </w:p>
        </w:tc>
        <w:tc>
          <w:tcPr>
            <w:tcW w:type="dxa" w:w="5040"/>
          </w:tcPr>
          <w:p>
            <w:r>
              <w:t>Invalid constraints show readable errors and block invalid generation.</w:t>
            </w:r>
          </w:p>
        </w:tc>
      </w:tr>
      <w:tr>
        <w:tc>
          <w:tcPr>
            <w:tcW w:type="dxa" w:w="5040"/>
          </w:tcPr>
          <w:p>
            <w:r>
              <w:t>Generation</w:t>
            </w:r>
          </w:p>
        </w:tc>
        <w:tc>
          <w:tcPr>
            <w:tcW w:type="dxa" w:w="5040"/>
          </w:tcPr>
          <w:p>
            <w:r>
              <w:t>Results show values, category, expected and reason.</w:t>
            </w:r>
          </w:p>
        </w:tc>
      </w:tr>
      <w:tr>
        <w:tc>
          <w:tcPr>
            <w:tcW w:type="dxa" w:w="5040"/>
          </w:tcPr>
          <w:p>
            <w:r>
              <w:t>Business rule</w:t>
            </w:r>
          </w:p>
        </w:tc>
        <w:tc>
          <w:tcPr>
            <w:tcW w:type="dxa" w:w="5040"/>
          </w:tcPr>
          <w:p>
            <w:r>
              <w:t>Create up to three conditions and observe rule-generated cases.</w:t>
            </w:r>
          </w:p>
        </w:tc>
      </w:tr>
      <w:tr>
        <w:tc>
          <w:tcPr>
            <w:tcW w:type="dxa" w:w="5040"/>
          </w:tcPr>
          <w:p>
            <w:r>
              <w:t>Filters</w:t>
            </w:r>
          </w:p>
        </w:tc>
        <w:tc>
          <w:tcPr>
            <w:tcW w:type="dxa" w:w="5040"/>
          </w:tcPr>
          <w:p>
            <w:r>
              <w:t>Category/status filtering.</w:t>
            </w:r>
          </w:p>
        </w:tc>
      </w:tr>
      <w:tr>
        <w:tc>
          <w:tcPr>
            <w:tcW w:type="dxa" w:w="5040"/>
          </w:tcPr>
          <w:p>
            <w:r>
              <w:t>CSV/JSON</w:t>
            </w:r>
          </w:p>
        </w:tc>
        <w:tc>
          <w:tcPr>
            <w:tcW w:type="dxa" w:w="5040"/>
          </w:tcPr>
          <w:p>
            <w:r>
              <w:t>Downloads initiate and contain expected structure.</w:t>
            </w:r>
          </w:p>
        </w:tc>
      </w:tr>
      <w:tr>
        <w:tc>
          <w:tcPr>
            <w:tcW w:type="dxa" w:w="5040"/>
          </w:tcPr>
          <w:p>
            <w:r>
              <w:t>Persistence</w:t>
            </w:r>
          </w:p>
        </w:tc>
        <w:tc>
          <w:tcPr>
            <w:tcW w:type="dxa" w:w="5040"/>
          </w:tcPr>
          <w:p>
            <w:r>
              <w:t>Reload restores local project.</w:t>
            </w:r>
          </w:p>
        </w:tc>
      </w:tr>
      <w:tr>
        <w:tc>
          <w:tcPr>
            <w:tcW w:type="dxa" w:w="5040"/>
          </w:tcPr>
          <w:p>
            <w:r>
              <w:t>Examples</w:t>
            </w:r>
          </w:p>
        </w:tc>
        <w:tc>
          <w:tcPr>
            <w:tcW w:type="dxa" w:w="5040"/>
          </w:tcPr>
          <w:p>
            <w:r>
              <w:t>Built-in example loads and generates.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HTML/XSS-like value renders as text and does not execute.</w:t>
            </w:r>
          </w:p>
        </w:tc>
      </w:tr>
      <w:tr>
        <w:tc>
          <w:tcPr>
            <w:tcW w:type="dxa" w:w="5040"/>
          </w:tcPr>
          <w:p>
            <w:r>
              <w:t>Accessibility smoke</w:t>
            </w:r>
          </w:p>
        </w:tc>
        <w:tc>
          <w:tcPr>
            <w:tcW w:type="dxa" w:w="5040"/>
          </w:tcPr>
          <w:p>
            <w:r>
              <w:t>Keyboard/focus/labels for critical journey.</w:t>
            </w:r>
          </w:p>
        </w:tc>
      </w:tr>
      <w:tr>
        <w:tc>
          <w:tcPr>
            <w:tcW w:type="dxa" w:w="5040"/>
          </w:tcPr>
          <w:p>
            <w:r>
              <w:t>Responsive smoke</w:t>
            </w:r>
          </w:p>
        </w:tc>
        <w:tc>
          <w:tcPr>
            <w:tcW w:type="dxa" w:w="5040"/>
          </w:tcPr>
          <w:p>
            <w:r>
              <w:t>Core journey remains usable at supported viewport.</w:t>
            </w:r>
          </w:p>
        </w:tc>
      </w:tr>
    </w:tbl>
    <w:p/>
    <w:p>
      <w:pPr>
        <w:pStyle w:val="Heading1"/>
      </w:pPr>
      <w:r>
        <w:t>4. API - Postman/Newman</w:t>
      </w:r>
    </w:p>
    <w:p>
      <w:r>
        <w:t>MVP 1.0 has no TestForge backend API. Therefore Postman is documented but not a browser-only MVP release blocker. Do not create an unnecessary backend merely to have API tests.</w:t>
      </w:r>
    </w:p>
    <w:p>
      <w:r>
        <w:t>When APIs are introduced, collections must cover authentication/authorization, schema, required fields, datatype/boundary validation, errors, idempotency where applicable, duplicate requests, environment isolation, security, payment webhooks/entitlements and integration contracts.</w:t>
      </w:r>
    </w:p>
    <w:p>
      <w:pPr>
        <w:pStyle w:val="Heading1"/>
      </w:pPr>
      <w:r>
        <w:t>5. CI quality flow</w:t>
      </w:r>
    </w:p>
    <w:p>
      <w:pPr>
        <w:pStyle w:val="Code"/>
      </w:pPr>
      <w:r>
        <w:t>Unit -&gt; Typecheck -&gt; Lint -&gt; Build -&gt; Cypress smoke/regression -&gt; Newman (when API exists) -&gt; PR -&gt; main -&gt; deployment -&gt; production smoke</w:t>
      </w:r>
    </w:p>
    <w:p>
      <w:pPr>
        <w:pStyle w:val="Heading1"/>
      </w:pPr>
      <w:r>
        <w:t>6. Required commands</w:t>
      </w:r>
    </w:p>
    <w:p>
      <w:pPr>
        <w:pStyle w:val="Code"/>
      </w:pPr>
      <w:r>
        <w:t>npm test</w:t>
        <w:br/>
        <w:t>npm run typecheck</w:t>
        <w:br/>
        <w:t>npm run lint</w:t>
        <w:br/>
        <w:t>npm run build</w:t>
        <w:br/>
        <w:t># Cypress command once configured</w:t>
        <w:br/>
        <w:t># Newman command once backend/API exists</w:t>
      </w:r>
    </w:p>
    <w:p>
      <w:pPr>
        <w:pStyle w:val="Heading1"/>
      </w:pPr>
      <w:r>
        <w:t>7. Test data principles</w:t>
      </w:r>
    </w:p>
    <w:p>
      <w:pPr>
        <w:pStyle w:val="ListBullet"/>
      </w:pPr>
      <w:r>
        <w:t>Prefer deterministic test fixtures for boundary and regression behavior.</w:t>
      </w:r>
    </w:p>
    <w:p>
      <w:pPr>
        <w:pStyle w:val="ListBullet"/>
      </w:pPr>
      <w:r>
        <w:t>Do not assert only counts when semantic values/status/reasons are more important.</w:t>
      </w:r>
    </w:p>
    <w:p>
      <w:pPr>
        <w:pStyle w:val="ListBullet"/>
      </w:pPr>
      <w:r>
        <w:t>UI tests verify integration journeys; they should not duplicate every unit boundary case.</w:t>
      </w:r>
    </w:p>
    <w:p>
      <w:pPr>
        <w:pStyle w:val="ListBullet"/>
      </w:pPr>
      <w:r>
        <w:t>API secrets and payment keys must be supplied through protected environment variables, never committed.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