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44"/>
          <w:szCs w:val="44"/>
        </w:rPr>
        <w:t xml:space="preserve">Incident Investigation Report</w:t>
      </w:r>
    </w:p>
    <w:p>
      <w:pPr>
        <w:spacing w:after="300"/>
      </w:pPr>
      <w:r>
        <w:rPr>
          <w:i/>
          <w:iCs/>
          <w:color w:val="4B5563"/>
          <w:sz w:val="24"/>
          <w:szCs w:val="24"/>
        </w:rPr>
        <w:t xml:space="preserve">Website Defacement of imreallynotbatman.com — Po1s0n1vy APT Group</w:t>
      </w:r>
    </w:p>
    <w:p>
      <w:pPr>
        <w:spacing w:after="60"/>
      </w:pPr>
      <w:r>
        <w:rPr>
          <w:b/>
          <w:bCs/>
          <w:sz w:val="20"/>
          <w:szCs w:val="20"/>
        </w:rPr>
        <w:t xml:space="preserve">Analyst: </w:t>
      </w:r>
      <w:r>
        <w:rPr>
          <w:sz w:val="20"/>
          <w:szCs w:val="20"/>
        </w:rPr>
        <w:t xml:space="preserve">Alex (SOC Analyst, training project)</w:t>
      </w:r>
    </w:p>
    <w:p>
      <w:pPr>
        <w:spacing w:after="60"/>
      </w:pPr>
      <w:r>
        <w:rPr>
          <w:b/>
          <w:bCs/>
          <w:sz w:val="20"/>
          <w:szCs w:val="20"/>
        </w:rPr>
        <w:t xml:space="preserve">Report Date: </w:t>
      </w:r>
      <w:r>
        <w:rPr>
          <w:sz w:val="20"/>
          <w:szCs w:val="20"/>
        </w:rPr>
        <w:t xml:space="preserve">July 2026</w:t>
      </w:r>
    </w:p>
    <w:p>
      <w:pPr>
        <w:spacing w:after="60"/>
      </w:pPr>
      <w:r>
        <w:rPr>
          <w:b/>
          <w:bCs/>
          <w:sz w:val="20"/>
          <w:szCs w:val="20"/>
        </w:rPr>
        <w:t xml:space="preserve">Classification: </w:t>
      </w:r>
      <w:r>
        <w:rPr>
          <w:sz w:val="20"/>
          <w:szCs w:val="20"/>
        </w:rPr>
        <w:t xml:space="preserve">Training project / portfolio piece</w:t>
      </w:r>
    </w:p>
    <w:p>
      <w:pPr>
        <w:spacing w:after="60"/>
      </w:pPr>
      <w:r>
        <w:rPr>
          <w:b/>
          <w:bCs/>
          <w:sz w:val="20"/>
          <w:szCs w:val="20"/>
        </w:rPr>
        <w:t xml:space="preserve">Data Source: </w:t>
      </w:r>
      <w:r>
        <w:rPr>
          <w:sz w:val="20"/>
          <w:szCs w:val="20"/>
        </w:rPr>
        <w:t xml:space="preserve">Splunk BOTS v1 (Boss of the SOC), Scenario 1</w:t>
      </w:r>
    </w:p>
    <w:p>
      <w:pPr>
        <w:spacing w:after="200"/>
      </w:pPr>
    </w:p>
    <w:p>
      <w:pPr>
        <w:pStyle w:val="Heading1"/>
        <w:spacing w:after="160" w:before="320"/>
      </w:pPr>
      <w:r>
        <w:t xml:space="preserve">1. Executive Summary</w:t>
      </w:r>
    </w:p>
    <w:p>
      <w:pPr>
        <w:spacing w:after="140"/>
      </w:pPr>
      <w:r>
        <w:t xml:space="preserve">On August 10, 2016, the website imreallynotbatman.com, hosted within Wayne Enterprises' IP address space, was defaced. Users reported seeing an image referencing "P01s0n1vy" — a known APT group with a history of targeting Wayne Enterprises.</w:t>
      </w:r>
    </w:p>
    <w:p>
      <w:pPr>
        <w:spacing w:after="140"/>
      </w:pPr>
      <w:r>
        <w:t xml:space="preserve">This investigation, conducted using the Splunk SIEM platform alongside open-source intelligence (OSINT) and VirusTotal, reconstructs the full attack chain according to the Lockheed Martin Cyber Kill Chain model: from vulnerability scanning and reconnaissance through compromise of the Joomla CMS, web shell upload, executable malware installation, and the final defacement.</w:t>
      </w:r>
    </w:p>
    <w:p>
      <w:pPr>
        <w:spacing w:after="140"/>
      </w:pPr>
      <w:r>
        <w:t xml:space="preserve">The attacking infrastructure was attributed to the Po1s0n1vy group based on WHOIS record analysis, related domains, and IP addresses pre-staged for future attacks against Wayne Enterprises infrastructure.</w:t>
      </w:r>
    </w:p>
    <w:p>
      <w:pPr>
        <w:pStyle w:val="Heading1"/>
        <w:spacing w:after="160" w:before="320"/>
      </w:pPr>
      <w:r>
        <w:t xml:space="preserve">2. Scope and Methodology</w:t>
      </w:r>
    </w:p>
    <w:p>
      <w:pPr>
        <w:spacing w:after="140"/>
      </w:pPr>
      <w:r>
        <w:t xml:space="preserve">The investigation was conducted using the Boss of the SOC v1 (BOTSv1) dataset, which includes web server logs (stream:http), Windows Sysmon and Security event logs, and network logs (Suricata/fgt_utm). Splunk Enterprise (self-hosted via Docker) served as the primary analysis platform.</w:t>
      </w:r>
    </w:p>
    <w:p>
      <w:pPr>
        <w:pStyle w:val="ListParagraph"/>
        <w:numPr>
          <w:ilvl w:val="0"/>
          <w:numId w:val="1"/>
        </w:numPr>
        <w:spacing w:after="60"/>
      </w:pPr>
      <w:r>
        <w:t xml:space="preserve">Splunk Enterprise — log search and correlation (SPL queries)</w:t>
      </w:r>
    </w:p>
    <w:p>
      <w:pPr>
        <w:pStyle w:val="ListParagraph"/>
        <w:numPr>
          <w:ilvl w:val="0"/>
          <w:numId w:val="1"/>
        </w:numPr>
        <w:spacing w:after="60"/>
      </w:pPr>
      <w:r>
        <w:t xml:space="preserve">VirusTotal — reputation analysis of IPs, domains, and files; malware attribution</w:t>
      </w:r>
    </w:p>
    <w:p>
      <w:pPr>
        <w:pStyle w:val="ListParagraph"/>
        <w:numPr>
          <w:ilvl w:val="0"/>
          <w:numId w:val="1"/>
        </w:numPr>
        <w:spacing w:after="60"/>
      </w:pPr>
      <w:r>
        <w:t xml:space="preserve">WHOIS / Whoxy — historical domain registration data</w:t>
      </w:r>
    </w:p>
    <w:p>
      <w:pPr>
        <w:pStyle w:val="ListParagraph"/>
        <w:numPr>
          <w:ilvl w:val="0"/>
          <w:numId w:val="1"/>
        </w:numPr>
        <w:spacing w:after="60"/>
      </w:pPr>
      <w:r>
        <w:t xml:space="preserve">CyberChef — data decoding (Hex → text)</w:t>
      </w:r>
    </w:p>
    <w:p>
      <w:pPr>
        <w:pStyle w:val="Heading1"/>
        <w:spacing w:after="160" w:before="320"/>
      </w:pPr>
      <w:r>
        <w:t xml:space="preserve">3. Attack Reconstruction — Lockheed Martin Cyber Kill Chain</w:t>
      </w:r>
    </w:p>
    <w:p>
      <w:pPr>
        <w:spacing w:after="140"/>
      </w:pPr>
      <w:r>
        <w:t xml:space="preserve">The timeline below is organized by the classic Cyber Kill Chain phases, highlighting the key indicators identified during analysis.</w:t>
      </w:r>
    </w:p>
    <w:p>
      <w:pPr>
        <w:pStyle w:val="Heading2"/>
        <w:spacing w:after="120" w:before="260"/>
      </w:pPr>
      <w:r>
        <w:t xml:space="preserve">3.1 Reconnaissance</w:t>
      </w:r>
    </w:p>
    <w:p>
      <w:pPr>
        <w:spacing w:after="140"/>
      </w:pPr>
      <w:r>
        <w:t xml:space="preserve">The attack began with automated web vulnerability scanning of imreallynotbatman.com. The scan originated from IP address 40.80.148.42, which sent over 17,500 HTTP requests to the web server (192.168.250.70).</w:t>
      </w:r>
    </w:p>
    <w:p>
      <w:pPr>
        <w:spacing w:after="140"/>
      </w:pPr>
      <w:r>
        <w:t xml:space="preserve">Analysis of the User-Agent and request payloads (SQL injection and XSS test strings carrying the signature "acunetix_wvs_security_test") confirmed the tool in use: the commercial vulnerability scanner Acunetix WVS.</w:t>
      </w:r>
    </w:p>
    <w:p>
      <w:pPr>
        <w:spacing w:after="140"/>
      </w:pPr>
      <w:r>
        <w:t xml:space="preserve">URL path structure (/joomla/administrator/, /joomla/templates/protostar/) identified the site's CMS as Joomla.</w:t>
      </w:r>
    </w:p>
    <w:p>
      <w:pPr>
        <w:pStyle w:val="Heading2"/>
        <w:spacing w:after="120" w:before="260"/>
      </w:pPr>
      <w:r>
        <w:t xml:space="preserve">3.2 Weaponization &amp; Delivery</w:t>
      </w:r>
    </w:p>
    <w:p>
      <w:pPr>
        <w:spacing w:after="140"/>
      </w:pPr>
      <w:r>
        <w:t xml:space="preserve">The defacement image, poisonivy-is-coming-for-you-batman.jpeg, was hosted on a separate attacker-controlled staging server and pulled by the victim's web server via an outbound request. The staging server used a dynamic DNS service: prankglassinebracket.jumpingcrab.com, resolving to IP 23.22.63.114 on port 1337.</w:t>
      </w:r>
    </w:p>
    <w:p>
      <w:pPr>
        <w:spacing w:after="140"/>
      </w:pPr>
      <w:r>
        <w:t xml:space="preserve">OSINT analysis revealed that this same IP (23.22.63.114) had been pre-staged against the domain waynecorinc.com — evidence that Po1s0n1vy prepares its infrastructure in advance, indicating further planned attacks against Wayne Enterprises.</w:t>
      </w:r>
    </w:p>
    <w:p>
      <w:pPr>
        <w:spacing w:after="140"/>
      </w:pPr>
      <w:r>
        <w:t xml:space="preserve">Historical WHOIS analysis of waynecorinc.com identified a probable email address associated with the threat actor: lillian.rose@po1s0n1vy.com.</w:t>
      </w:r>
    </w:p>
    <w:p>
      <w:pPr>
        <w:pStyle w:val="Heading2"/>
        <w:spacing w:after="120" w:before="260"/>
      </w:pPr>
      <w:r>
        <w:t xml:space="preserve">3.3 Exploitation</w:t>
      </w:r>
    </w:p>
    <w:p>
      <w:pPr>
        <w:spacing w:after="140"/>
      </w:pPr>
      <w:r>
        <w:t xml:space="preserve">The Joomla administrator panel was compromised via password brute forcing, originating from the same IP address, 23.22.63.114. A total of 413 login attempts (412 unique passwords) were logged within a few minutes, all targeting the "admin" account.</w:t>
      </w:r>
    </w:p>
    <w:p>
      <w:pPr>
        <w:spacing w:after="140"/>
      </w:pPr>
      <w:r>
        <w:t xml:space="preserve">The first password attempted was "123456789"; among the attempted values was "yellow" — a Coldplay song title. The average password length across the brute-force attempt was 6 characters.</w:t>
      </w:r>
    </w:p>
    <w:p>
      <w:pPr>
        <w:spacing w:after="140"/>
      </w:pPr>
      <w:r>
        <w:t xml:space="preserve">The successful password was "batman". Only 92.17 seconds elapsed between the moment this password first appeared in the automated brute-force sequence and the subsequent successful login — suggesting a semi-automated attack with minimal operator involvement at the access-confirmation stage.</w:t>
      </w:r>
    </w:p>
    <w:p>
      <w:pPr>
        <w:pStyle w:val="Heading2"/>
        <w:spacing w:after="120" w:before="260"/>
      </w:pPr>
      <w:r>
        <w:t xml:space="preserve">3.4 Installation</w:t>
      </w:r>
    </w:p>
    <w:p>
      <w:pPr>
        <w:spacing w:after="140"/>
      </w:pPr>
      <w:r>
        <w:t xml:space="preserve">After gaining administrative access, the attacker installed a third-party Joomla extension — the eXtplorer file manager (eXtplorer_2.1.5.zip), a legitimate tool repurposed to gain direct access to the server's file system.</w:t>
      </w:r>
    </w:p>
    <w:p>
      <w:pPr>
        <w:spacing w:after="140"/>
      </w:pPr>
      <w:r>
        <w:t xml:space="preserve">This was used to upload the web shell agent.php, and subsequently — likely through it — the executable 3791.exe (path: C:\inetpub\wwwroot\joomla\3791.exe). The file's hash (MD5: AAE3F5A29935E6ABCC2C2754D12A9AF0) was captured by Sysmon at process creation.</w:t>
      </w:r>
    </w:p>
    <w:p>
      <w:pPr>
        <w:pStyle w:val="Heading2"/>
        <w:spacing w:after="120" w:before="260"/>
      </w:pPr>
      <w:r>
        <w:t xml:space="preserve">3.5 Command &amp; Control</w:t>
      </w:r>
    </w:p>
    <w:p>
      <w:pPr>
        <w:spacing w:after="140"/>
      </w:pPr>
      <w:r>
        <w:t xml:space="preserve">Immediately after 3791.exe was executed, the server established an outbound connection to ec2-23-22-63-114.compute-1.amazonaws.com (the same attributed attacker IP) over port 3791 — the likely C2 channel for the malware.</w:t>
      </w:r>
    </w:p>
    <w:p>
      <w:pPr>
        <w:pStyle w:val="Heading2"/>
        <w:spacing w:after="120" w:before="260"/>
      </w:pPr>
      <w:r>
        <w:t xml:space="preserve">3.6 Actions on Objectives</w:t>
      </w:r>
    </w:p>
    <w:p>
      <w:pPr>
        <w:spacing w:after="140"/>
      </w:pPr>
      <w:r>
        <w:t xml:space="preserve">The attack's ultimate objective was the defacement of the site's homepage — a public demonstration of compromise intended to cause reputational damage to Wayne Enterprises, consistent with Po1s0n1vy's known modus operandi.</w:t>
      </w:r>
    </w:p>
    <w:p>
      <w:pPr>
        <w:spacing w:after="140"/>
      </w:pPr>
      <w:r>
        <w:t xml:space="preserve">Additionally, as part of the group's standard TTPs, this investigation identified their use of custom malware for spear-phishing: a sample named MirandaTateScreensaver.scr.exe (SHA256: 9709473ab351387aab9e816eff3910b9f28a7a70202e250ed46dba8f820f34a8), attributed by multiple AV vendors to the Zupdax/SanwaiCrypt family.</w:t>
      </w:r>
    </w:p>
    <w:p>
      <w:pPr>
        <w:pStyle w:val="Heading1"/>
        <w:spacing w:after="160" w:before="320"/>
      </w:pPr>
      <w:r>
        <w:t xml:space="preserve">4. Indicators of Compromise (IOC)</w:t>
      </w:r>
    </w:p>
    <w:p>
      <w:pPr>
        <w:spacing w:after="140"/>
      </w:pPr>
      <w:r>
        <w:t xml:space="preserve">The table below summarizes all indicators identified during this investigation.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rPr>
          <w:tblHeader/>
        </w:trPr>
        <w:tc>
          <w:tcPr>
            <w:tcW w:type="dxa" w:w="2400"/>
            <w:shd w:fill="1F2937" w:val="clear"/>
            <w:tcMar>
              <w:top w:type="dxa" w:w="80"/>
              <w:left w:type="dxa" w:w="100"/>
              <w:bottom w:type="dxa" w:w="80"/>
              <w:right w:type="dxa" w:w="100"/>
            </w:tcMar>
          </w:tcPr>
          <w:p>
            <w:r>
              <w:rPr>
                <w:b/>
                <w:bCs/>
                <w:color w:val="FFFFFF"/>
                <w:sz w:val="20"/>
                <w:szCs w:val="20"/>
              </w:rPr>
              <w:t xml:space="preserve">Type</w:t>
            </w:r>
          </w:p>
        </w:tc>
        <w:tc>
          <w:tcPr>
            <w:tcW w:type="dxa" w:w="4200"/>
            <w:shd w:fill="1F2937" w:val="clear"/>
            <w:tcMar>
              <w:top w:type="dxa" w:w="80"/>
              <w:left w:type="dxa" w:w="100"/>
              <w:bottom w:type="dxa" w:w="80"/>
              <w:right w:type="dxa" w:w="100"/>
            </w:tcMar>
          </w:tcPr>
          <w:p>
            <w:r>
              <w:rPr>
                <w:b/>
                <w:bCs/>
                <w:color w:val="FFFFFF"/>
                <w:sz w:val="20"/>
                <w:szCs w:val="20"/>
              </w:rPr>
              <w:t xml:space="preserve">Value</w:t>
            </w:r>
          </w:p>
        </w:tc>
        <w:tc>
          <w:tcPr>
            <w:tcW w:type="dxa" w:w="3000"/>
            <w:shd w:fill="1F2937" w:val="clear"/>
            <w:tcMar>
              <w:top w:type="dxa" w:w="80"/>
              <w:left w:type="dxa" w:w="100"/>
              <w:bottom w:type="dxa" w:w="80"/>
              <w:right w:type="dxa" w:w="100"/>
            </w:tcMar>
          </w:tcPr>
          <w:p>
            <w:r>
              <w:rPr>
                <w:b/>
                <w:bCs/>
                <w:color w:val="FFFFFF"/>
                <w:sz w:val="20"/>
                <w:szCs w:val="20"/>
              </w:rPr>
              <w:t xml:space="preserve">Role in Attack</w:t>
            </w:r>
          </w:p>
        </w:tc>
      </w:tr>
      <w:tr>
        <w:tc>
          <w:tcPr>
            <w:tcW w:type="dxa" w:w="2400"/>
            <w:tcMar>
              <w:top w:type="dxa" w:w="60"/>
              <w:left w:type="dxa" w:w="100"/>
              <w:bottom w:type="dxa" w:w="60"/>
              <w:right w:type="dxa" w:w="100"/>
            </w:tcMar>
          </w:tcPr>
          <w:p>
            <w:r>
              <w:rPr>
                <w:sz w:val="20"/>
                <w:szCs w:val="20"/>
              </w:rPr>
              <w:t xml:space="preserve">IPv4</w:t>
            </w:r>
          </w:p>
        </w:tc>
        <w:tc>
          <w:tcPr>
            <w:tcW w:type="dxa" w:w="4200"/>
            <w:tcMar>
              <w:top w:type="dxa" w:w="60"/>
              <w:left w:type="dxa" w:w="100"/>
              <w:bottom w:type="dxa" w:w="60"/>
              <w:right w:type="dxa" w:w="100"/>
            </w:tcMar>
          </w:tcPr>
          <w:p>
            <w:r>
              <w:rPr>
                <w:sz w:val="20"/>
                <w:szCs w:val="20"/>
              </w:rPr>
              <w:t xml:space="preserve">40.80.148.42</w:t>
            </w:r>
          </w:p>
        </w:tc>
        <w:tc>
          <w:tcPr>
            <w:tcW w:type="dxa" w:w="3000"/>
            <w:tcMar>
              <w:top w:type="dxa" w:w="60"/>
              <w:left w:type="dxa" w:w="100"/>
              <w:bottom w:type="dxa" w:w="60"/>
              <w:right w:type="dxa" w:w="100"/>
            </w:tcMar>
          </w:tcPr>
          <w:p>
            <w:r>
              <w:rPr>
                <w:sz w:val="20"/>
                <w:szCs w:val="20"/>
              </w:rPr>
              <w:t xml:space="preserve">Vulnerability scanning (Acunetix)</w:t>
            </w:r>
          </w:p>
        </w:tc>
      </w:tr>
      <w:tr>
        <w:tc>
          <w:tcPr>
            <w:tcW w:type="dxa" w:w="2400"/>
            <w:tcMar>
              <w:top w:type="dxa" w:w="60"/>
              <w:left w:type="dxa" w:w="100"/>
              <w:bottom w:type="dxa" w:w="60"/>
              <w:right w:type="dxa" w:w="100"/>
            </w:tcMar>
          </w:tcPr>
          <w:p>
            <w:r>
              <w:rPr>
                <w:sz w:val="20"/>
                <w:szCs w:val="20"/>
              </w:rPr>
              <w:t xml:space="preserve">IPv4</w:t>
            </w:r>
          </w:p>
        </w:tc>
        <w:tc>
          <w:tcPr>
            <w:tcW w:type="dxa" w:w="4200"/>
            <w:tcMar>
              <w:top w:type="dxa" w:w="60"/>
              <w:left w:type="dxa" w:w="100"/>
              <w:bottom w:type="dxa" w:w="60"/>
              <w:right w:type="dxa" w:w="100"/>
            </w:tcMar>
          </w:tcPr>
          <w:p>
            <w:r>
              <w:rPr>
                <w:sz w:val="20"/>
                <w:szCs w:val="20"/>
              </w:rPr>
              <w:t xml:space="preserve">23.22.63.114</w:t>
            </w:r>
          </w:p>
        </w:tc>
        <w:tc>
          <w:tcPr>
            <w:tcW w:type="dxa" w:w="3000"/>
            <w:tcMar>
              <w:top w:type="dxa" w:w="60"/>
              <w:left w:type="dxa" w:w="100"/>
              <w:bottom w:type="dxa" w:w="60"/>
              <w:right w:type="dxa" w:w="100"/>
            </w:tcMar>
          </w:tcPr>
          <w:p>
            <w:r>
              <w:rPr>
                <w:sz w:val="20"/>
                <w:szCs w:val="20"/>
              </w:rPr>
              <w:t xml:space="preserve">Brute force, C2, defacement file hosting, pre-staged infrastructure</w:t>
            </w:r>
          </w:p>
        </w:tc>
      </w:tr>
      <w:tr>
        <w:tc>
          <w:tcPr>
            <w:tcW w:type="dxa" w:w="2400"/>
            <w:tcMar>
              <w:top w:type="dxa" w:w="60"/>
              <w:left w:type="dxa" w:w="100"/>
              <w:bottom w:type="dxa" w:w="60"/>
              <w:right w:type="dxa" w:w="100"/>
            </w:tcMar>
          </w:tcPr>
          <w:p>
            <w:r>
              <w:rPr>
                <w:sz w:val="20"/>
                <w:szCs w:val="20"/>
              </w:rPr>
              <w:t xml:space="preserve">Domain</w:t>
            </w:r>
          </w:p>
        </w:tc>
        <w:tc>
          <w:tcPr>
            <w:tcW w:type="dxa" w:w="4200"/>
            <w:tcMar>
              <w:top w:type="dxa" w:w="60"/>
              <w:left w:type="dxa" w:w="100"/>
              <w:bottom w:type="dxa" w:w="60"/>
              <w:right w:type="dxa" w:w="100"/>
            </w:tcMar>
          </w:tcPr>
          <w:p>
            <w:r>
              <w:rPr>
                <w:sz w:val="20"/>
                <w:szCs w:val="20"/>
              </w:rPr>
              <w:t xml:space="preserve">prankglassinebracket.jumpingcrab.com</w:t>
            </w:r>
          </w:p>
        </w:tc>
        <w:tc>
          <w:tcPr>
            <w:tcW w:type="dxa" w:w="3000"/>
            <w:tcMar>
              <w:top w:type="dxa" w:w="60"/>
              <w:left w:type="dxa" w:w="100"/>
              <w:bottom w:type="dxa" w:w="60"/>
              <w:right w:type="dxa" w:w="100"/>
            </w:tcMar>
          </w:tcPr>
          <w:p>
            <w:r>
              <w:rPr>
                <w:sz w:val="20"/>
                <w:szCs w:val="20"/>
              </w:rPr>
              <w:t xml:space="preserve">Defacement file staging server (Dynamic DNS)</w:t>
            </w:r>
          </w:p>
        </w:tc>
      </w:tr>
      <w:tr>
        <w:tc>
          <w:tcPr>
            <w:tcW w:type="dxa" w:w="2400"/>
            <w:tcMar>
              <w:top w:type="dxa" w:w="60"/>
              <w:left w:type="dxa" w:w="100"/>
              <w:bottom w:type="dxa" w:w="60"/>
              <w:right w:type="dxa" w:w="100"/>
            </w:tcMar>
          </w:tcPr>
          <w:p>
            <w:r>
              <w:rPr>
                <w:sz w:val="20"/>
                <w:szCs w:val="20"/>
              </w:rPr>
              <w:t xml:space="preserve">Domain</w:t>
            </w:r>
          </w:p>
        </w:tc>
        <w:tc>
          <w:tcPr>
            <w:tcW w:type="dxa" w:w="4200"/>
            <w:tcMar>
              <w:top w:type="dxa" w:w="60"/>
              <w:left w:type="dxa" w:w="100"/>
              <w:bottom w:type="dxa" w:w="60"/>
              <w:right w:type="dxa" w:w="100"/>
            </w:tcMar>
          </w:tcPr>
          <w:p>
            <w:r>
              <w:rPr>
                <w:sz w:val="20"/>
                <w:szCs w:val="20"/>
              </w:rPr>
              <w:t xml:space="preserve">waynecorinc.com</w:t>
            </w:r>
          </w:p>
        </w:tc>
        <w:tc>
          <w:tcPr>
            <w:tcW w:type="dxa" w:w="3000"/>
            <w:tcMar>
              <w:top w:type="dxa" w:w="60"/>
              <w:left w:type="dxa" w:w="100"/>
              <w:bottom w:type="dxa" w:w="60"/>
              <w:right w:type="dxa" w:w="100"/>
            </w:tcMar>
          </w:tcPr>
          <w:p>
            <w:r>
              <w:rPr>
                <w:sz w:val="20"/>
                <w:szCs w:val="20"/>
              </w:rPr>
              <w:t xml:space="preserve">Pre-staged domain for future attack</w:t>
            </w:r>
          </w:p>
        </w:tc>
      </w:tr>
      <w:tr>
        <w:tc>
          <w:tcPr>
            <w:tcW w:type="dxa" w:w="2400"/>
            <w:tcMar>
              <w:top w:type="dxa" w:w="60"/>
              <w:left w:type="dxa" w:w="100"/>
              <w:bottom w:type="dxa" w:w="60"/>
              <w:right w:type="dxa" w:w="100"/>
            </w:tcMar>
          </w:tcPr>
          <w:p>
            <w:r>
              <w:rPr>
                <w:sz w:val="20"/>
                <w:szCs w:val="20"/>
              </w:rPr>
              <w:t xml:space="preserve">Domain</w:t>
            </w:r>
          </w:p>
        </w:tc>
        <w:tc>
          <w:tcPr>
            <w:tcW w:type="dxa" w:w="4200"/>
            <w:tcMar>
              <w:top w:type="dxa" w:w="60"/>
              <w:left w:type="dxa" w:w="100"/>
              <w:bottom w:type="dxa" w:w="60"/>
              <w:right w:type="dxa" w:w="100"/>
            </w:tcMar>
          </w:tcPr>
          <w:p>
            <w:r>
              <w:rPr>
                <w:sz w:val="20"/>
                <w:szCs w:val="20"/>
              </w:rPr>
              <w:t xml:space="preserve">po1s0n1vy.com</w:t>
            </w:r>
          </w:p>
        </w:tc>
        <w:tc>
          <w:tcPr>
            <w:tcW w:type="dxa" w:w="3000"/>
            <w:tcMar>
              <w:top w:type="dxa" w:w="60"/>
              <w:left w:type="dxa" w:w="100"/>
              <w:bottom w:type="dxa" w:w="60"/>
              <w:right w:type="dxa" w:w="100"/>
            </w:tcMar>
          </w:tcPr>
          <w:p>
            <w:r>
              <w:rPr>
                <w:sz w:val="20"/>
                <w:szCs w:val="20"/>
              </w:rPr>
              <w:t xml:space="preserve">Group attribution infrastructure</w:t>
            </w:r>
          </w:p>
        </w:tc>
      </w:tr>
      <w:tr>
        <w:tc>
          <w:tcPr>
            <w:tcW w:type="dxa" w:w="2400"/>
            <w:tcMar>
              <w:top w:type="dxa" w:w="60"/>
              <w:left w:type="dxa" w:w="100"/>
              <w:bottom w:type="dxa" w:w="60"/>
              <w:right w:type="dxa" w:w="100"/>
            </w:tcMar>
          </w:tcPr>
          <w:p>
            <w:r>
              <w:rPr>
                <w:sz w:val="20"/>
                <w:szCs w:val="20"/>
              </w:rPr>
              <w:t xml:space="preserve">Email</w:t>
            </w:r>
          </w:p>
        </w:tc>
        <w:tc>
          <w:tcPr>
            <w:tcW w:type="dxa" w:w="4200"/>
            <w:tcMar>
              <w:top w:type="dxa" w:w="60"/>
              <w:left w:type="dxa" w:w="100"/>
              <w:bottom w:type="dxa" w:w="60"/>
              <w:right w:type="dxa" w:w="100"/>
            </w:tcMar>
          </w:tcPr>
          <w:p>
            <w:r>
              <w:rPr>
                <w:sz w:val="20"/>
                <w:szCs w:val="20"/>
              </w:rPr>
              <w:t xml:space="preserve">lillian.rose@po1s0n1vy.com</w:t>
            </w:r>
          </w:p>
        </w:tc>
        <w:tc>
          <w:tcPr>
            <w:tcW w:type="dxa" w:w="3000"/>
            <w:tcMar>
              <w:top w:type="dxa" w:w="60"/>
              <w:left w:type="dxa" w:w="100"/>
              <w:bottom w:type="dxa" w:w="60"/>
              <w:right w:type="dxa" w:w="100"/>
            </w:tcMar>
          </w:tcPr>
          <w:p>
            <w:r>
              <w:rPr>
                <w:sz w:val="20"/>
                <w:szCs w:val="20"/>
              </w:rPr>
              <w:t xml:space="preserve">OSINT attribution</w:t>
            </w:r>
          </w:p>
        </w:tc>
      </w:tr>
      <w:tr>
        <w:tc>
          <w:tcPr>
            <w:tcW w:type="dxa" w:w="2400"/>
            <w:tcMar>
              <w:top w:type="dxa" w:w="60"/>
              <w:left w:type="dxa" w:w="100"/>
              <w:bottom w:type="dxa" w:w="60"/>
              <w:right w:type="dxa" w:w="100"/>
            </w:tcMar>
          </w:tcPr>
          <w:p>
            <w:r>
              <w:rPr>
                <w:sz w:val="20"/>
                <w:szCs w:val="20"/>
              </w:rPr>
              <w:t xml:space="preserve">File</w:t>
            </w:r>
          </w:p>
        </w:tc>
        <w:tc>
          <w:tcPr>
            <w:tcW w:type="dxa" w:w="4200"/>
            <w:tcMar>
              <w:top w:type="dxa" w:w="60"/>
              <w:left w:type="dxa" w:w="100"/>
              <w:bottom w:type="dxa" w:w="60"/>
              <w:right w:type="dxa" w:w="100"/>
            </w:tcMar>
          </w:tcPr>
          <w:p>
            <w:r>
              <w:rPr>
                <w:sz w:val="20"/>
                <w:szCs w:val="20"/>
              </w:rPr>
              <w:t xml:space="preserve">poisonivy-is-coming-for-you-batman.jpeg</w:t>
            </w:r>
          </w:p>
        </w:tc>
        <w:tc>
          <w:tcPr>
            <w:tcW w:type="dxa" w:w="3000"/>
            <w:tcMar>
              <w:top w:type="dxa" w:w="60"/>
              <w:left w:type="dxa" w:w="100"/>
              <w:bottom w:type="dxa" w:w="60"/>
              <w:right w:type="dxa" w:w="100"/>
            </w:tcMar>
          </w:tcPr>
          <w:p>
            <w:r>
              <w:rPr>
                <w:sz w:val="20"/>
                <w:szCs w:val="20"/>
              </w:rPr>
              <w:t xml:space="preserve">Defacement file</w:t>
            </w:r>
          </w:p>
        </w:tc>
      </w:tr>
      <w:tr>
        <w:tc>
          <w:tcPr>
            <w:tcW w:type="dxa" w:w="2400"/>
            <w:tcMar>
              <w:top w:type="dxa" w:w="60"/>
              <w:left w:type="dxa" w:w="100"/>
              <w:bottom w:type="dxa" w:w="60"/>
              <w:right w:type="dxa" w:w="100"/>
            </w:tcMar>
          </w:tcPr>
          <w:p>
            <w:r>
              <w:rPr>
                <w:sz w:val="20"/>
                <w:szCs w:val="20"/>
              </w:rPr>
              <w:t xml:space="preserve">File</w:t>
            </w:r>
          </w:p>
        </w:tc>
        <w:tc>
          <w:tcPr>
            <w:tcW w:type="dxa" w:w="4200"/>
            <w:tcMar>
              <w:top w:type="dxa" w:w="60"/>
              <w:left w:type="dxa" w:w="100"/>
              <w:bottom w:type="dxa" w:w="60"/>
              <w:right w:type="dxa" w:w="100"/>
            </w:tcMar>
          </w:tcPr>
          <w:p>
            <w:r>
              <w:rPr>
                <w:sz w:val="20"/>
                <w:szCs w:val="20"/>
              </w:rPr>
              <w:t xml:space="preserve">agent.php</w:t>
            </w:r>
          </w:p>
        </w:tc>
        <w:tc>
          <w:tcPr>
            <w:tcW w:type="dxa" w:w="3000"/>
            <w:tcMar>
              <w:top w:type="dxa" w:w="60"/>
              <w:left w:type="dxa" w:w="100"/>
              <w:bottom w:type="dxa" w:w="60"/>
              <w:right w:type="dxa" w:w="100"/>
            </w:tcMar>
          </w:tcPr>
          <w:p>
            <w:r>
              <w:rPr>
                <w:sz w:val="20"/>
                <w:szCs w:val="20"/>
              </w:rPr>
              <w:t xml:space="preserve">Web shell</w:t>
            </w:r>
          </w:p>
        </w:tc>
      </w:tr>
      <w:tr>
        <w:tc>
          <w:tcPr>
            <w:tcW w:type="dxa" w:w="2400"/>
            <w:tcMar>
              <w:top w:type="dxa" w:w="60"/>
              <w:left w:type="dxa" w:w="100"/>
              <w:bottom w:type="dxa" w:w="60"/>
              <w:right w:type="dxa" w:w="100"/>
            </w:tcMar>
          </w:tcPr>
          <w:p>
            <w:r>
              <w:rPr>
                <w:sz w:val="20"/>
                <w:szCs w:val="20"/>
              </w:rPr>
              <w:t xml:space="preserve">File (MD5)</w:t>
            </w:r>
          </w:p>
        </w:tc>
        <w:tc>
          <w:tcPr>
            <w:tcW w:type="dxa" w:w="4200"/>
            <w:tcMar>
              <w:top w:type="dxa" w:w="60"/>
              <w:left w:type="dxa" w:w="100"/>
              <w:bottom w:type="dxa" w:w="60"/>
              <w:right w:type="dxa" w:w="100"/>
            </w:tcMar>
          </w:tcPr>
          <w:p>
            <w:r>
              <w:rPr>
                <w:sz w:val="20"/>
                <w:szCs w:val="20"/>
              </w:rPr>
              <w:t xml:space="preserve">3791.exe — AAE3F5A29935E6ABCC2C2754D12A9AF0</w:t>
            </w:r>
          </w:p>
        </w:tc>
        <w:tc>
          <w:tcPr>
            <w:tcW w:type="dxa" w:w="3000"/>
            <w:tcMar>
              <w:top w:type="dxa" w:w="60"/>
              <w:left w:type="dxa" w:w="100"/>
              <w:bottom w:type="dxa" w:w="60"/>
              <w:right w:type="dxa" w:w="100"/>
            </w:tcMar>
          </w:tcPr>
          <w:p>
            <w:r>
              <w:rPr>
                <w:sz w:val="20"/>
                <w:szCs w:val="20"/>
              </w:rPr>
              <w:t xml:space="preserve">Malicious executable</w:t>
            </w:r>
          </w:p>
        </w:tc>
      </w:tr>
      <w:tr>
        <w:tc>
          <w:tcPr>
            <w:tcW w:type="dxa" w:w="2400"/>
            <w:tcMar>
              <w:top w:type="dxa" w:w="60"/>
              <w:left w:type="dxa" w:w="100"/>
              <w:bottom w:type="dxa" w:w="60"/>
              <w:right w:type="dxa" w:w="100"/>
            </w:tcMar>
          </w:tcPr>
          <w:p>
            <w:r>
              <w:rPr>
                <w:sz w:val="20"/>
                <w:szCs w:val="20"/>
              </w:rPr>
              <w:t xml:space="preserve">File (SHA256)</w:t>
            </w:r>
          </w:p>
        </w:tc>
        <w:tc>
          <w:tcPr>
            <w:tcW w:type="dxa" w:w="4200"/>
            <w:tcMar>
              <w:top w:type="dxa" w:w="60"/>
              <w:left w:type="dxa" w:w="100"/>
              <w:bottom w:type="dxa" w:w="60"/>
              <w:right w:type="dxa" w:w="100"/>
            </w:tcMar>
          </w:tcPr>
          <w:p>
            <w:r>
              <w:rPr>
                <w:sz w:val="20"/>
                <w:szCs w:val="20"/>
              </w:rPr>
              <w:t xml:space="preserve">MirandaTateScreensaver.scr.exe — 9709473ab351387aab9e816eff3910b9f28a7a70202e250ed46dba8f820f34a8</w:t>
            </w:r>
          </w:p>
        </w:tc>
        <w:tc>
          <w:tcPr>
            <w:tcW w:type="dxa" w:w="3000"/>
            <w:tcMar>
              <w:top w:type="dxa" w:w="60"/>
              <w:left w:type="dxa" w:w="100"/>
              <w:bottom w:type="dxa" w:w="60"/>
              <w:right w:type="dxa" w:w="100"/>
            </w:tcMar>
          </w:tcPr>
          <w:p>
            <w:r>
              <w:rPr>
                <w:sz w:val="20"/>
                <w:szCs w:val="20"/>
              </w:rPr>
              <w:t xml:space="preserve">Spear-phishing malware (Zupdax family)</w:t>
            </w:r>
          </w:p>
        </w:tc>
      </w:tr>
    </w:tbl>
    <w:p>
      <w:pPr>
        <w:spacing w:after="200"/>
      </w:pPr>
    </w:p>
    <w:p>
      <w:pPr>
        <w:pStyle w:val="Heading1"/>
        <w:spacing w:after="160" w:before="320"/>
      </w:pPr>
      <w:r>
        <w:t xml:space="preserve">5. Appendix: Full Investigation Question &amp; Answer Log</w:t>
      </w:r>
    </w:p>
    <w:p>
      <w:pPr>
        <w:spacing w:after="140"/>
      </w:pPr>
      <w:r>
        <w:t xml:space="preserve">The appendix lists all 17 checkpoint questions from the BOTS v1 dataset (Scenario 1), along with the answers obtained through hands-on analysis in Splunk.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700"/>
      </w:tblGrid>
      <w:tr>
        <w:trPr>
          <w:tblHeader/>
        </w:trPr>
        <w:tc>
          <w:tcPr>
            <w:tcW w:type="dxa" w:w="700"/>
            <w:shd w:fill="1F2937" w:val="clear"/>
            <w:tcMar>
              <w:top w:type="dxa" w:w="80"/>
              <w:left w:type="dxa" w:w="100"/>
              <w:bottom w:type="dxa" w:w="80"/>
              <w:right w:type="dxa" w:w="100"/>
            </w:tcMar>
          </w:tcPr>
          <w:p>
            <w:r>
              <w:rPr>
                <w:b/>
                <w:bCs/>
                <w:color w:val="FFFFFF"/>
                <w:sz w:val="20"/>
                <w:szCs w:val="20"/>
              </w:rPr>
              <w:t xml:space="preserve">#</w:t>
            </w:r>
          </w:p>
        </w:tc>
        <w:tc>
          <w:tcPr>
            <w:tcW w:type="dxa" w:w="5200"/>
            <w:shd w:fill="1F2937" w:val="clear"/>
            <w:tcMar>
              <w:top w:type="dxa" w:w="80"/>
              <w:left w:type="dxa" w:w="100"/>
              <w:bottom w:type="dxa" w:w="80"/>
              <w:right w:type="dxa" w:w="100"/>
            </w:tcMar>
          </w:tcPr>
          <w:p>
            <w:r>
              <w:rPr>
                <w:b/>
                <w:bCs/>
                <w:color w:val="FFFFFF"/>
                <w:sz w:val="20"/>
                <w:szCs w:val="20"/>
              </w:rPr>
              <w:t xml:space="preserve">Question</w:t>
            </w:r>
          </w:p>
        </w:tc>
        <w:tc>
          <w:tcPr>
            <w:tcW w:type="dxa" w:w="3700"/>
            <w:shd w:fill="1F2937" w:val="clear"/>
            <w:tcMar>
              <w:top w:type="dxa" w:w="80"/>
              <w:left w:type="dxa" w:w="100"/>
              <w:bottom w:type="dxa" w:w="80"/>
              <w:right w:type="dxa" w:w="100"/>
            </w:tcMar>
          </w:tcPr>
          <w:p>
            <w:r>
              <w:rPr>
                <w:b/>
                <w:bCs/>
                <w:color w:val="FFFFFF"/>
                <w:sz w:val="20"/>
                <w:szCs w:val="20"/>
              </w:rPr>
              <w:t xml:space="preserve">Answer</w:t>
            </w:r>
          </w:p>
        </w:tc>
      </w:tr>
      <w:tr>
        <w:tc>
          <w:tcPr>
            <w:tcW w:type="dxa" w:w="700"/>
            <w:tcMar>
              <w:top w:type="dxa" w:w="60"/>
              <w:left w:type="dxa" w:w="100"/>
              <w:bottom w:type="dxa" w:w="60"/>
              <w:right w:type="dxa" w:w="100"/>
            </w:tcMar>
          </w:tcPr>
          <w:p>
            <w:r>
              <w:rPr>
                <w:sz w:val="20"/>
                <w:szCs w:val="20"/>
              </w:rPr>
              <w:t xml:space="preserve">1</w:t>
            </w:r>
          </w:p>
        </w:tc>
        <w:tc>
          <w:tcPr>
            <w:tcW w:type="dxa" w:w="5200"/>
            <w:tcMar>
              <w:top w:type="dxa" w:w="60"/>
              <w:left w:type="dxa" w:w="100"/>
              <w:bottom w:type="dxa" w:w="60"/>
              <w:right w:type="dxa" w:w="100"/>
            </w:tcMar>
          </w:tcPr>
          <w:p>
            <w:r>
              <w:rPr>
                <w:sz w:val="20"/>
                <w:szCs w:val="20"/>
              </w:rPr>
              <w:t xml:space="preserve">IPv4 address of the Po1s0n1vy scanner</w:t>
            </w:r>
          </w:p>
        </w:tc>
        <w:tc>
          <w:tcPr>
            <w:tcW w:type="dxa" w:w="3700"/>
            <w:tcMar>
              <w:top w:type="dxa" w:w="60"/>
              <w:left w:type="dxa" w:w="100"/>
              <w:bottom w:type="dxa" w:w="60"/>
              <w:right w:type="dxa" w:w="100"/>
            </w:tcMar>
          </w:tcPr>
          <w:p>
            <w:r>
              <w:rPr>
                <w:sz w:val="20"/>
                <w:szCs w:val="20"/>
              </w:rPr>
              <w:t xml:space="preserve">40.80.148.42</w:t>
            </w:r>
          </w:p>
        </w:tc>
      </w:tr>
      <w:tr>
        <w:tc>
          <w:tcPr>
            <w:tcW w:type="dxa" w:w="700"/>
            <w:tcMar>
              <w:top w:type="dxa" w:w="60"/>
              <w:left w:type="dxa" w:w="100"/>
              <w:bottom w:type="dxa" w:w="60"/>
              <w:right w:type="dxa" w:w="100"/>
            </w:tcMar>
          </w:tcPr>
          <w:p>
            <w:r>
              <w:rPr>
                <w:sz w:val="20"/>
                <w:szCs w:val="20"/>
              </w:rPr>
              <w:t xml:space="preserve">2</w:t>
            </w:r>
          </w:p>
        </w:tc>
        <w:tc>
          <w:tcPr>
            <w:tcW w:type="dxa" w:w="5200"/>
            <w:tcMar>
              <w:top w:type="dxa" w:w="60"/>
              <w:left w:type="dxa" w:w="100"/>
              <w:bottom w:type="dxa" w:w="60"/>
              <w:right w:type="dxa" w:w="100"/>
            </w:tcMar>
          </w:tcPr>
          <w:p>
            <w:r>
              <w:rPr>
                <w:sz w:val="20"/>
                <w:szCs w:val="20"/>
              </w:rPr>
              <w:t xml:space="preserve">Company that created the vulnerability scanner</w:t>
            </w:r>
          </w:p>
        </w:tc>
        <w:tc>
          <w:tcPr>
            <w:tcW w:type="dxa" w:w="3700"/>
            <w:tcMar>
              <w:top w:type="dxa" w:w="60"/>
              <w:left w:type="dxa" w:w="100"/>
              <w:bottom w:type="dxa" w:w="60"/>
              <w:right w:type="dxa" w:w="100"/>
            </w:tcMar>
          </w:tcPr>
          <w:p>
            <w:r>
              <w:rPr>
                <w:sz w:val="20"/>
                <w:szCs w:val="20"/>
              </w:rPr>
              <w:t xml:space="preserve">Acunetix</w:t>
            </w:r>
          </w:p>
        </w:tc>
      </w:tr>
      <w:tr>
        <w:tc>
          <w:tcPr>
            <w:tcW w:type="dxa" w:w="700"/>
            <w:tcMar>
              <w:top w:type="dxa" w:w="60"/>
              <w:left w:type="dxa" w:w="100"/>
              <w:bottom w:type="dxa" w:w="60"/>
              <w:right w:type="dxa" w:w="100"/>
            </w:tcMar>
          </w:tcPr>
          <w:p>
            <w:r>
              <w:rPr>
                <w:sz w:val="20"/>
                <w:szCs w:val="20"/>
              </w:rPr>
              <w:t xml:space="preserve">3</w:t>
            </w:r>
          </w:p>
        </w:tc>
        <w:tc>
          <w:tcPr>
            <w:tcW w:type="dxa" w:w="5200"/>
            <w:tcMar>
              <w:top w:type="dxa" w:w="60"/>
              <w:left w:type="dxa" w:w="100"/>
              <w:bottom w:type="dxa" w:w="60"/>
              <w:right w:type="dxa" w:w="100"/>
            </w:tcMar>
          </w:tcPr>
          <w:p>
            <w:r>
              <w:rPr>
                <w:sz w:val="20"/>
                <w:szCs w:val="20"/>
              </w:rPr>
              <w:t xml:space="preserve">CMS used by imreallynotbatman.com</w:t>
            </w:r>
          </w:p>
        </w:tc>
        <w:tc>
          <w:tcPr>
            <w:tcW w:type="dxa" w:w="3700"/>
            <w:tcMar>
              <w:top w:type="dxa" w:w="60"/>
              <w:left w:type="dxa" w:w="100"/>
              <w:bottom w:type="dxa" w:w="60"/>
              <w:right w:type="dxa" w:w="100"/>
            </w:tcMar>
          </w:tcPr>
          <w:p>
            <w:r>
              <w:rPr>
                <w:sz w:val="20"/>
                <w:szCs w:val="20"/>
              </w:rPr>
              <w:t xml:space="preserve">Joomla</w:t>
            </w:r>
          </w:p>
        </w:tc>
      </w:tr>
      <w:tr>
        <w:tc>
          <w:tcPr>
            <w:tcW w:type="dxa" w:w="700"/>
            <w:tcMar>
              <w:top w:type="dxa" w:w="60"/>
              <w:left w:type="dxa" w:w="100"/>
              <w:bottom w:type="dxa" w:w="60"/>
              <w:right w:type="dxa" w:w="100"/>
            </w:tcMar>
          </w:tcPr>
          <w:p>
            <w:r>
              <w:rPr>
                <w:sz w:val="20"/>
                <w:szCs w:val="20"/>
              </w:rPr>
              <w:t xml:space="preserve">4</w:t>
            </w:r>
          </w:p>
        </w:tc>
        <w:tc>
          <w:tcPr>
            <w:tcW w:type="dxa" w:w="5200"/>
            <w:tcMar>
              <w:top w:type="dxa" w:w="60"/>
              <w:left w:type="dxa" w:w="100"/>
              <w:bottom w:type="dxa" w:w="60"/>
              <w:right w:type="dxa" w:w="100"/>
            </w:tcMar>
          </w:tcPr>
          <w:p>
            <w:r>
              <w:rPr>
                <w:sz w:val="20"/>
                <w:szCs w:val="20"/>
              </w:rPr>
              <w:t xml:space="preserve">Name of the defacement file</w:t>
            </w:r>
          </w:p>
        </w:tc>
        <w:tc>
          <w:tcPr>
            <w:tcW w:type="dxa" w:w="3700"/>
            <w:tcMar>
              <w:top w:type="dxa" w:w="60"/>
              <w:left w:type="dxa" w:w="100"/>
              <w:bottom w:type="dxa" w:w="60"/>
              <w:right w:type="dxa" w:w="100"/>
            </w:tcMar>
          </w:tcPr>
          <w:p>
            <w:r>
              <w:rPr>
                <w:sz w:val="20"/>
                <w:szCs w:val="20"/>
              </w:rPr>
              <w:t xml:space="preserve">poisonivy-is-coming-for-you-batman.jpeg</w:t>
            </w:r>
          </w:p>
        </w:tc>
      </w:tr>
      <w:tr>
        <w:tc>
          <w:tcPr>
            <w:tcW w:type="dxa" w:w="700"/>
            <w:tcMar>
              <w:top w:type="dxa" w:w="60"/>
              <w:left w:type="dxa" w:w="100"/>
              <w:bottom w:type="dxa" w:w="60"/>
              <w:right w:type="dxa" w:w="100"/>
            </w:tcMar>
          </w:tcPr>
          <w:p>
            <w:r>
              <w:rPr>
                <w:sz w:val="20"/>
                <w:szCs w:val="20"/>
              </w:rPr>
              <w:t xml:space="preserve">5</w:t>
            </w:r>
          </w:p>
        </w:tc>
        <w:tc>
          <w:tcPr>
            <w:tcW w:type="dxa" w:w="5200"/>
            <w:tcMar>
              <w:top w:type="dxa" w:w="60"/>
              <w:left w:type="dxa" w:w="100"/>
              <w:bottom w:type="dxa" w:w="60"/>
              <w:right w:type="dxa" w:w="100"/>
            </w:tcMar>
          </w:tcPr>
          <w:p>
            <w:r>
              <w:rPr>
                <w:sz w:val="20"/>
                <w:szCs w:val="20"/>
              </w:rPr>
              <w:t xml:space="preserve">Dynamic DNS FQDN associated with the attack</w:t>
            </w:r>
          </w:p>
        </w:tc>
        <w:tc>
          <w:tcPr>
            <w:tcW w:type="dxa" w:w="3700"/>
            <w:tcMar>
              <w:top w:type="dxa" w:w="60"/>
              <w:left w:type="dxa" w:w="100"/>
              <w:bottom w:type="dxa" w:w="60"/>
              <w:right w:type="dxa" w:w="100"/>
            </w:tcMar>
          </w:tcPr>
          <w:p>
            <w:r>
              <w:rPr>
                <w:sz w:val="20"/>
                <w:szCs w:val="20"/>
              </w:rPr>
              <w:t xml:space="preserve">prankglassinebracket.jumpingcrab.com</w:t>
            </w:r>
          </w:p>
        </w:tc>
      </w:tr>
      <w:tr>
        <w:tc>
          <w:tcPr>
            <w:tcW w:type="dxa" w:w="700"/>
            <w:tcMar>
              <w:top w:type="dxa" w:w="60"/>
              <w:left w:type="dxa" w:w="100"/>
              <w:bottom w:type="dxa" w:w="60"/>
              <w:right w:type="dxa" w:w="100"/>
            </w:tcMar>
          </w:tcPr>
          <w:p>
            <w:r>
              <w:rPr>
                <w:sz w:val="20"/>
                <w:szCs w:val="20"/>
              </w:rPr>
              <w:t xml:space="preserve">6</w:t>
            </w:r>
          </w:p>
        </w:tc>
        <w:tc>
          <w:tcPr>
            <w:tcW w:type="dxa" w:w="5200"/>
            <w:tcMar>
              <w:top w:type="dxa" w:w="60"/>
              <w:left w:type="dxa" w:w="100"/>
              <w:bottom w:type="dxa" w:w="60"/>
              <w:right w:type="dxa" w:w="100"/>
            </w:tcMar>
          </w:tcPr>
          <w:p>
            <w:r>
              <w:rPr>
                <w:sz w:val="20"/>
                <w:szCs w:val="20"/>
              </w:rPr>
              <w:t xml:space="preserve">IP tied to pre-staged domains</w:t>
            </w:r>
          </w:p>
        </w:tc>
        <w:tc>
          <w:tcPr>
            <w:tcW w:type="dxa" w:w="3700"/>
            <w:tcMar>
              <w:top w:type="dxa" w:w="60"/>
              <w:left w:type="dxa" w:w="100"/>
              <w:bottom w:type="dxa" w:w="60"/>
              <w:right w:type="dxa" w:w="100"/>
            </w:tcMar>
          </w:tcPr>
          <w:p>
            <w:r>
              <w:rPr>
                <w:sz w:val="20"/>
                <w:szCs w:val="20"/>
              </w:rPr>
              <w:t xml:space="preserve">23.22.63.114</w:t>
            </w:r>
          </w:p>
        </w:tc>
      </w:tr>
      <w:tr>
        <w:tc>
          <w:tcPr>
            <w:tcW w:type="dxa" w:w="700"/>
            <w:tcMar>
              <w:top w:type="dxa" w:w="60"/>
              <w:left w:type="dxa" w:w="100"/>
              <w:bottom w:type="dxa" w:w="60"/>
              <w:right w:type="dxa" w:w="100"/>
            </w:tcMar>
          </w:tcPr>
          <w:p>
            <w:r>
              <w:rPr>
                <w:sz w:val="20"/>
                <w:szCs w:val="20"/>
              </w:rPr>
              <w:t xml:space="preserve">7</w:t>
            </w:r>
          </w:p>
        </w:tc>
        <w:tc>
          <w:tcPr>
            <w:tcW w:type="dxa" w:w="5200"/>
            <w:tcMar>
              <w:top w:type="dxa" w:w="60"/>
              <w:left w:type="dxa" w:w="100"/>
              <w:bottom w:type="dxa" w:w="60"/>
              <w:right w:type="dxa" w:w="100"/>
            </w:tcMar>
          </w:tcPr>
          <w:p>
            <w:r>
              <w:rPr>
                <w:sz w:val="20"/>
                <w:szCs w:val="20"/>
              </w:rPr>
              <w:t xml:space="preserve">Brute-force attack IP</w:t>
            </w:r>
          </w:p>
        </w:tc>
        <w:tc>
          <w:tcPr>
            <w:tcW w:type="dxa" w:w="3700"/>
            <w:tcMar>
              <w:top w:type="dxa" w:w="60"/>
              <w:left w:type="dxa" w:w="100"/>
              <w:bottom w:type="dxa" w:w="60"/>
              <w:right w:type="dxa" w:w="100"/>
            </w:tcMar>
          </w:tcPr>
          <w:p>
            <w:r>
              <w:rPr>
                <w:sz w:val="20"/>
                <w:szCs w:val="20"/>
              </w:rPr>
              <w:t xml:space="preserve">23.22.63.114</w:t>
            </w:r>
          </w:p>
        </w:tc>
      </w:tr>
      <w:tr>
        <w:tc>
          <w:tcPr>
            <w:tcW w:type="dxa" w:w="700"/>
            <w:tcMar>
              <w:top w:type="dxa" w:w="60"/>
              <w:left w:type="dxa" w:w="100"/>
              <w:bottom w:type="dxa" w:w="60"/>
              <w:right w:type="dxa" w:w="100"/>
            </w:tcMar>
          </w:tcPr>
          <w:p>
            <w:r>
              <w:rPr>
                <w:sz w:val="20"/>
                <w:szCs w:val="20"/>
              </w:rPr>
              <w:t xml:space="preserve">8</w:t>
            </w:r>
          </w:p>
        </w:tc>
        <w:tc>
          <w:tcPr>
            <w:tcW w:type="dxa" w:w="5200"/>
            <w:tcMar>
              <w:top w:type="dxa" w:w="60"/>
              <w:left w:type="dxa" w:w="100"/>
              <w:bottom w:type="dxa" w:w="60"/>
              <w:right w:type="dxa" w:w="100"/>
            </w:tcMar>
          </w:tcPr>
          <w:p>
            <w:r>
              <w:rPr>
                <w:sz w:val="20"/>
                <w:szCs w:val="20"/>
              </w:rPr>
              <w:t xml:space="preserve">Name of the uploaded executable</w:t>
            </w:r>
          </w:p>
        </w:tc>
        <w:tc>
          <w:tcPr>
            <w:tcW w:type="dxa" w:w="3700"/>
            <w:tcMar>
              <w:top w:type="dxa" w:w="60"/>
              <w:left w:type="dxa" w:w="100"/>
              <w:bottom w:type="dxa" w:w="60"/>
              <w:right w:type="dxa" w:w="100"/>
            </w:tcMar>
          </w:tcPr>
          <w:p>
            <w:r>
              <w:rPr>
                <w:sz w:val="20"/>
                <w:szCs w:val="20"/>
              </w:rPr>
              <w:t xml:space="preserve">3791.exe</w:t>
            </w:r>
          </w:p>
        </w:tc>
      </w:tr>
      <w:tr>
        <w:tc>
          <w:tcPr>
            <w:tcW w:type="dxa" w:w="700"/>
            <w:tcMar>
              <w:top w:type="dxa" w:w="60"/>
              <w:left w:type="dxa" w:w="100"/>
              <w:bottom w:type="dxa" w:w="60"/>
              <w:right w:type="dxa" w:w="100"/>
            </w:tcMar>
          </w:tcPr>
          <w:p>
            <w:r>
              <w:rPr>
                <w:sz w:val="20"/>
                <w:szCs w:val="20"/>
              </w:rPr>
              <w:t xml:space="preserve">9</w:t>
            </w:r>
          </w:p>
        </w:tc>
        <w:tc>
          <w:tcPr>
            <w:tcW w:type="dxa" w:w="5200"/>
            <w:tcMar>
              <w:top w:type="dxa" w:w="60"/>
              <w:left w:type="dxa" w:w="100"/>
              <w:bottom w:type="dxa" w:w="60"/>
              <w:right w:type="dxa" w:w="100"/>
            </w:tcMar>
          </w:tcPr>
          <w:p>
            <w:r>
              <w:rPr>
                <w:sz w:val="20"/>
                <w:szCs w:val="20"/>
              </w:rPr>
              <w:t xml:space="preserve">MD5 hash of the uploaded file</w:t>
            </w:r>
          </w:p>
        </w:tc>
        <w:tc>
          <w:tcPr>
            <w:tcW w:type="dxa" w:w="3700"/>
            <w:tcMar>
              <w:top w:type="dxa" w:w="60"/>
              <w:left w:type="dxa" w:w="100"/>
              <w:bottom w:type="dxa" w:w="60"/>
              <w:right w:type="dxa" w:w="100"/>
            </w:tcMar>
          </w:tcPr>
          <w:p>
            <w:r>
              <w:rPr>
                <w:sz w:val="20"/>
                <w:szCs w:val="20"/>
              </w:rPr>
              <w:t xml:space="preserve">AAE3F5A29935E6ABCC2C2754D12A9AF0</w:t>
            </w:r>
          </w:p>
        </w:tc>
      </w:tr>
      <w:tr>
        <w:tc>
          <w:tcPr>
            <w:tcW w:type="dxa" w:w="700"/>
            <w:tcMar>
              <w:top w:type="dxa" w:w="60"/>
              <w:left w:type="dxa" w:w="100"/>
              <w:bottom w:type="dxa" w:w="60"/>
              <w:right w:type="dxa" w:w="100"/>
            </w:tcMar>
          </w:tcPr>
          <w:p>
            <w:r>
              <w:rPr>
                <w:sz w:val="20"/>
                <w:szCs w:val="20"/>
              </w:rPr>
              <w:t xml:space="preserve">10</w:t>
            </w:r>
          </w:p>
        </w:tc>
        <w:tc>
          <w:tcPr>
            <w:tcW w:type="dxa" w:w="5200"/>
            <w:tcMar>
              <w:top w:type="dxa" w:w="60"/>
              <w:left w:type="dxa" w:w="100"/>
              <w:bottom w:type="dxa" w:w="60"/>
              <w:right w:type="dxa" w:w="100"/>
            </w:tcMar>
          </w:tcPr>
          <w:p>
            <w:r>
              <w:rPr>
                <w:sz w:val="20"/>
                <w:szCs w:val="20"/>
              </w:rPr>
              <w:t xml:space="preserve">SHA256 of spear-phishing malware</w:t>
            </w:r>
          </w:p>
        </w:tc>
        <w:tc>
          <w:tcPr>
            <w:tcW w:type="dxa" w:w="3700"/>
            <w:tcMar>
              <w:top w:type="dxa" w:w="60"/>
              <w:left w:type="dxa" w:w="100"/>
              <w:bottom w:type="dxa" w:w="60"/>
              <w:right w:type="dxa" w:w="100"/>
            </w:tcMar>
          </w:tcPr>
          <w:p>
            <w:r>
              <w:rPr>
                <w:sz w:val="20"/>
                <w:szCs w:val="20"/>
              </w:rPr>
              <w:t xml:space="preserve">9709473ab351387aab9e816eff3910b9f28a7a70202e250ed46dba8f820f34a8</w:t>
            </w:r>
          </w:p>
        </w:tc>
      </w:tr>
      <w:tr>
        <w:tc>
          <w:tcPr>
            <w:tcW w:type="dxa" w:w="700"/>
            <w:tcMar>
              <w:top w:type="dxa" w:w="60"/>
              <w:left w:type="dxa" w:w="100"/>
              <w:bottom w:type="dxa" w:w="60"/>
              <w:right w:type="dxa" w:w="100"/>
            </w:tcMar>
          </w:tcPr>
          <w:p>
            <w:r>
              <w:rPr>
                <w:sz w:val="20"/>
                <w:szCs w:val="20"/>
              </w:rPr>
              <w:t xml:space="preserve">11</w:t>
            </w:r>
          </w:p>
        </w:tc>
        <w:tc>
          <w:tcPr>
            <w:tcW w:type="dxa" w:w="5200"/>
            <w:tcMar>
              <w:top w:type="dxa" w:w="60"/>
              <w:left w:type="dxa" w:w="100"/>
              <w:bottom w:type="dxa" w:w="60"/>
              <w:right w:type="dxa" w:w="100"/>
            </w:tcMar>
          </w:tcPr>
          <w:p>
            <w:r>
              <w:rPr>
                <w:sz w:val="20"/>
                <w:szCs w:val="20"/>
              </w:rPr>
              <w:t xml:space="preserve">Special hex code tied to the malware</w:t>
            </w:r>
          </w:p>
        </w:tc>
        <w:tc>
          <w:tcPr>
            <w:tcW w:type="dxa" w:w="3700"/>
            <w:tcMar>
              <w:top w:type="dxa" w:w="60"/>
              <w:left w:type="dxa" w:w="100"/>
              <w:bottom w:type="dxa" w:w="60"/>
              <w:right w:type="dxa" w:w="100"/>
            </w:tcMar>
          </w:tcPr>
          <w:p>
            <w:r>
              <w:rPr>
                <w:sz w:val="20"/>
                <w:szCs w:val="20"/>
              </w:rPr>
              <w:t xml:space="preserve">53 74 65 76 65 20 42 72 61 6e 74 27 73 20 42 65 61 72 64 … (developer easter egg)</w:t>
            </w:r>
          </w:p>
        </w:tc>
      </w:tr>
      <w:tr>
        <w:tc>
          <w:tcPr>
            <w:tcW w:type="dxa" w:w="700"/>
            <w:tcMar>
              <w:top w:type="dxa" w:w="60"/>
              <w:left w:type="dxa" w:w="100"/>
              <w:bottom w:type="dxa" w:w="60"/>
              <w:right w:type="dxa" w:w="100"/>
            </w:tcMar>
          </w:tcPr>
          <w:p>
            <w:r>
              <w:rPr>
                <w:sz w:val="20"/>
                <w:szCs w:val="20"/>
              </w:rPr>
              <w:t xml:space="preserve">12</w:t>
            </w:r>
          </w:p>
        </w:tc>
        <w:tc>
          <w:tcPr>
            <w:tcW w:type="dxa" w:w="5200"/>
            <w:tcMar>
              <w:top w:type="dxa" w:w="60"/>
              <w:left w:type="dxa" w:w="100"/>
              <w:bottom w:type="dxa" w:w="60"/>
              <w:right w:type="dxa" w:w="100"/>
            </w:tcMar>
          </w:tcPr>
          <w:p>
            <w:r>
              <w:rPr>
                <w:sz w:val="20"/>
                <w:szCs w:val="20"/>
              </w:rPr>
              <w:t xml:space="preserve">First password used in the brute force</w:t>
            </w:r>
          </w:p>
        </w:tc>
        <w:tc>
          <w:tcPr>
            <w:tcW w:type="dxa" w:w="3700"/>
            <w:tcMar>
              <w:top w:type="dxa" w:w="60"/>
              <w:left w:type="dxa" w:w="100"/>
              <w:bottom w:type="dxa" w:w="60"/>
              <w:right w:type="dxa" w:w="100"/>
            </w:tcMar>
          </w:tcPr>
          <w:p>
            <w:r>
              <w:rPr>
                <w:sz w:val="20"/>
                <w:szCs w:val="20"/>
              </w:rPr>
              <w:t xml:space="preserve">123456789</w:t>
            </w:r>
          </w:p>
        </w:tc>
      </w:tr>
      <w:tr>
        <w:tc>
          <w:tcPr>
            <w:tcW w:type="dxa" w:w="700"/>
            <w:tcMar>
              <w:top w:type="dxa" w:w="60"/>
              <w:left w:type="dxa" w:w="100"/>
              <w:bottom w:type="dxa" w:w="60"/>
              <w:right w:type="dxa" w:w="100"/>
            </w:tcMar>
          </w:tcPr>
          <w:p>
            <w:r>
              <w:rPr>
                <w:sz w:val="20"/>
                <w:szCs w:val="20"/>
              </w:rPr>
              <w:t xml:space="preserve">13</w:t>
            </w:r>
          </w:p>
        </w:tc>
        <w:tc>
          <w:tcPr>
            <w:tcW w:type="dxa" w:w="5200"/>
            <w:tcMar>
              <w:top w:type="dxa" w:w="60"/>
              <w:left w:type="dxa" w:w="100"/>
              <w:bottom w:type="dxa" w:w="60"/>
              <w:right w:type="dxa" w:w="100"/>
            </w:tcMar>
          </w:tcPr>
          <w:p>
            <w:r>
              <w:rPr>
                <w:sz w:val="20"/>
                <w:szCs w:val="20"/>
              </w:rPr>
              <w:t xml:space="preserve">Coldplay song password (6 letters)</w:t>
            </w:r>
          </w:p>
        </w:tc>
        <w:tc>
          <w:tcPr>
            <w:tcW w:type="dxa" w:w="3700"/>
            <w:tcMar>
              <w:top w:type="dxa" w:w="60"/>
              <w:left w:type="dxa" w:w="100"/>
              <w:bottom w:type="dxa" w:w="60"/>
              <w:right w:type="dxa" w:w="100"/>
            </w:tcMar>
          </w:tcPr>
          <w:p>
            <w:r>
              <w:rPr>
                <w:sz w:val="20"/>
                <w:szCs w:val="20"/>
              </w:rPr>
              <w:t xml:space="preserve">yellow</w:t>
            </w:r>
          </w:p>
        </w:tc>
      </w:tr>
      <w:tr>
        <w:tc>
          <w:tcPr>
            <w:tcW w:type="dxa" w:w="700"/>
            <w:tcMar>
              <w:top w:type="dxa" w:w="60"/>
              <w:left w:type="dxa" w:w="100"/>
              <w:bottom w:type="dxa" w:w="60"/>
              <w:right w:type="dxa" w:w="100"/>
            </w:tcMar>
          </w:tcPr>
          <w:p>
            <w:r>
              <w:rPr>
                <w:sz w:val="20"/>
                <w:szCs w:val="20"/>
              </w:rPr>
              <w:t xml:space="preserve">14</w:t>
            </w:r>
          </w:p>
        </w:tc>
        <w:tc>
          <w:tcPr>
            <w:tcW w:type="dxa" w:w="5200"/>
            <w:tcMar>
              <w:top w:type="dxa" w:w="60"/>
              <w:left w:type="dxa" w:w="100"/>
              <w:bottom w:type="dxa" w:w="60"/>
              <w:right w:type="dxa" w:w="100"/>
            </w:tcMar>
          </w:tcPr>
          <w:p>
            <w:r>
              <w:rPr>
                <w:sz w:val="20"/>
                <w:szCs w:val="20"/>
              </w:rPr>
              <w:t xml:space="preserve">Correct administrator password</w:t>
            </w:r>
          </w:p>
        </w:tc>
        <w:tc>
          <w:tcPr>
            <w:tcW w:type="dxa" w:w="3700"/>
            <w:tcMar>
              <w:top w:type="dxa" w:w="60"/>
              <w:left w:type="dxa" w:w="100"/>
              <w:bottom w:type="dxa" w:w="60"/>
              <w:right w:type="dxa" w:w="100"/>
            </w:tcMar>
          </w:tcPr>
          <w:p>
            <w:r>
              <w:rPr>
                <w:sz w:val="20"/>
                <w:szCs w:val="20"/>
              </w:rPr>
              <w:t xml:space="preserve">batman</w:t>
            </w:r>
          </w:p>
        </w:tc>
      </w:tr>
      <w:tr>
        <w:tc>
          <w:tcPr>
            <w:tcW w:type="dxa" w:w="700"/>
            <w:tcMar>
              <w:top w:type="dxa" w:w="60"/>
              <w:left w:type="dxa" w:w="100"/>
              <w:bottom w:type="dxa" w:w="60"/>
              <w:right w:type="dxa" w:w="100"/>
            </w:tcMar>
          </w:tcPr>
          <w:p>
            <w:r>
              <w:rPr>
                <w:sz w:val="20"/>
                <w:szCs w:val="20"/>
              </w:rPr>
              <w:t xml:space="preserve">15</w:t>
            </w:r>
          </w:p>
        </w:tc>
        <w:tc>
          <w:tcPr>
            <w:tcW w:type="dxa" w:w="5200"/>
            <w:tcMar>
              <w:top w:type="dxa" w:w="60"/>
              <w:left w:type="dxa" w:w="100"/>
              <w:bottom w:type="dxa" w:w="60"/>
              <w:right w:type="dxa" w:w="100"/>
            </w:tcMar>
          </w:tcPr>
          <w:p>
            <w:r>
              <w:rPr>
                <w:sz w:val="20"/>
                <w:szCs w:val="20"/>
              </w:rPr>
              <w:t xml:space="preserve">Average password length in the brute force</w:t>
            </w:r>
          </w:p>
        </w:tc>
        <w:tc>
          <w:tcPr>
            <w:tcW w:type="dxa" w:w="3700"/>
            <w:tcMar>
              <w:top w:type="dxa" w:w="60"/>
              <w:left w:type="dxa" w:w="100"/>
              <w:bottom w:type="dxa" w:w="60"/>
              <w:right w:type="dxa" w:w="100"/>
            </w:tcMar>
          </w:tcPr>
          <w:p>
            <w:r>
              <w:rPr>
                <w:sz w:val="20"/>
                <w:szCs w:val="20"/>
              </w:rPr>
              <w:t xml:space="preserve">6 characters</w:t>
            </w:r>
          </w:p>
        </w:tc>
      </w:tr>
      <w:tr>
        <w:tc>
          <w:tcPr>
            <w:tcW w:type="dxa" w:w="700"/>
            <w:tcMar>
              <w:top w:type="dxa" w:w="60"/>
              <w:left w:type="dxa" w:w="100"/>
              <w:bottom w:type="dxa" w:w="60"/>
              <w:right w:type="dxa" w:w="100"/>
            </w:tcMar>
          </w:tcPr>
          <w:p>
            <w:r>
              <w:rPr>
                <w:sz w:val="20"/>
                <w:szCs w:val="20"/>
              </w:rPr>
              <w:t xml:space="preserve">16</w:t>
            </w:r>
          </w:p>
        </w:tc>
        <w:tc>
          <w:tcPr>
            <w:tcW w:type="dxa" w:w="5200"/>
            <w:tcMar>
              <w:top w:type="dxa" w:w="60"/>
              <w:left w:type="dxa" w:w="100"/>
              <w:bottom w:type="dxa" w:w="60"/>
              <w:right w:type="dxa" w:w="100"/>
            </w:tcMar>
          </w:tcPr>
          <w:p>
            <w:r>
              <w:rPr>
                <w:sz w:val="20"/>
                <w:szCs w:val="20"/>
              </w:rPr>
              <w:t xml:space="preserve">Seconds between password match and login</w:t>
            </w:r>
          </w:p>
        </w:tc>
        <w:tc>
          <w:tcPr>
            <w:tcW w:type="dxa" w:w="3700"/>
            <w:tcMar>
              <w:top w:type="dxa" w:w="60"/>
              <w:left w:type="dxa" w:w="100"/>
              <w:bottom w:type="dxa" w:w="60"/>
              <w:right w:type="dxa" w:w="100"/>
            </w:tcMar>
          </w:tcPr>
          <w:p>
            <w:r>
              <w:rPr>
                <w:sz w:val="20"/>
                <w:szCs w:val="20"/>
              </w:rPr>
              <w:t xml:space="preserve">92.17 sec.</w:t>
            </w:r>
          </w:p>
        </w:tc>
      </w:tr>
      <w:tr>
        <w:tc>
          <w:tcPr>
            <w:tcW w:type="dxa" w:w="700"/>
            <w:tcMar>
              <w:top w:type="dxa" w:w="60"/>
              <w:left w:type="dxa" w:w="100"/>
              <w:bottom w:type="dxa" w:w="60"/>
              <w:right w:type="dxa" w:w="100"/>
            </w:tcMar>
          </w:tcPr>
          <w:p>
            <w:r>
              <w:rPr>
                <w:sz w:val="20"/>
                <w:szCs w:val="20"/>
              </w:rPr>
              <w:t xml:space="preserve">17</w:t>
            </w:r>
          </w:p>
        </w:tc>
        <w:tc>
          <w:tcPr>
            <w:tcW w:type="dxa" w:w="5200"/>
            <w:tcMar>
              <w:top w:type="dxa" w:w="60"/>
              <w:left w:type="dxa" w:w="100"/>
              <w:bottom w:type="dxa" w:w="60"/>
              <w:right w:type="dxa" w:w="100"/>
            </w:tcMar>
          </w:tcPr>
          <w:p>
            <w:r>
              <w:rPr>
                <w:sz w:val="20"/>
                <w:szCs w:val="20"/>
              </w:rPr>
              <w:t xml:space="preserve">Unique passwords attempted</w:t>
            </w:r>
          </w:p>
        </w:tc>
        <w:tc>
          <w:tcPr>
            <w:tcW w:type="dxa" w:w="3700"/>
            <w:tcMar>
              <w:top w:type="dxa" w:w="60"/>
              <w:left w:type="dxa" w:w="100"/>
              <w:bottom w:type="dxa" w:w="60"/>
              <w:right w:type="dxa" w:w="100"/>
            </w:tcMar>
          </w:tcPr>
          <w:p>
            <w:r>
              <w:rPr>
                <w:sz w:val="20"/>
                <w:szCs w:val="20"/>
              </w:rPr>
              <w:t xml:space="preserve">412</w:t>
            </w:r>
          </w:p>
        </w:tc>
      </w:tr>
      <w:tr>
        <w:tc>
          <w:tcPr>
            <w:tcW w:type="dxa" w:w="700"/>
            <w:tcMar>
              <w:top w:type="dxa" w:w="60"/>
              <w:left w:type="dxa" w:w="100"/>
              <w:bottom w:type="dxa" w:w="60"/>
              <w:right w:type="dxa" w:w="100"/>
            </w:tcMar>
          </w:tcPr>
          <w:p>
            <w:r>
              <w:rPr>
                <w:sz w:val="20"/>
                <w:szCs w:val="20"/>
              </w:rPr>
              <w:t xml:space="preserve">OSINT</w:t>
            </w:r>
          </w:p>
        </w:tc>
        <w:tc>
          <w:tcPr>
            <w:tcW w:type="dxa" w:w="5200"/>
            <w:tcMar>
              <w:top w:type="dxa" w:w="60"/>
              <w:left w:type="dxa" w:w="100"/>
              <w:bottom w:type="dxa" w:w="60"/>
              <w:right w:type="dxa" w:w="100"/>
            </w:tcMar>
          </w:tcPr>
          <w:p>
            <w:r>
              <w:rPr>
                <w:sz w:val="20"/>
                <w:szCs w:val="20"/>
              </w:rPr>
              <w:t xml:space="preserve">Email associated with Po1s0n1vy</w:t>
            </w:r>
          </w:p>
        </w:tc>
        <w:tc>
          <w:tcPr>
            <w:tcW w:type="dxa" w:w="3700"/>
            <w:tcMar>
              <w:top w:type="dxa" w:w="60"/>
              <w:left w:type="dxa" w:w="100"/>
              <w:bottom w:type="dxa" w:w="60"/>
              <w:right w:type="dxa" w:w="100"/>
            </w:tcMar>
          </w:tcPr>
          <w:p>
            <w:r>
              <w:rPr>
                <w:sz w:val="20"/>
                <w:szCs w:val="20"/>
              </w:rPr>
              <w:t xml:space="preserve">lillian.rose@po1s0n1vy.com</w:t>
            </w:r>
          </w:p>
        </w:tc>
      </w:tr>
    </w:tbl>
    <w:p>
      <w:pPr>
        <w:spacing w:after="200"/>
      </w:pPr>
    </w:p>
    <w:p>
      <w:pPr>
        <w:pStyle w:val="Heading1"/>
        <w:spacing w:after="160" w:before="320"/>
      </w:pPr>
      <w:r>
        <w:t xml:space="preserve">6. Recommendations</w:t>
      </w:r>
    </w:p>
    <w:p>
      <w:pPr>
        <w:pStyle w:val="ListParagraph"/>
        <w:numPr>
          <w:ilvl w:val="0"/>
          <w:numId w:val="1"/>
        </w:numPr>
        <w:spacing w:after="60"/>
      </w:pPr>
      <w:r>
        <w:t xml:space="preserve">Implement failed-login rate limiting / account lockout for CMS administrative panels.</w:t>
      </w:r>
    </w:p>
    <w:p>
      <w:pPr>
        <w:pStyle w:val="ListParagraph"/>
        <w:numPr>
          <w:ilvl w:val="0"/>
          <w:numId w:val="1"/>
        </w:numPr>
        <w:spacing w:after="60"/>
      </w:pPr>
      <w:r>
        <w:t xml:space="preserve">Restrict access to /administrator/ by IP allowlist or VPN, minimizing public internet exposure.</w:t>
      </w:r>
    </w:p>
    <w:p>
      <w:pPr>
        <w:pStyle w:val="ListParagraph"/>
        <w:numPr>
          <w:ilvl w:val="0"/>
          <w:numId w:val="1"/>
        </w:numPr>
        <w:spacing w:after="60"/>
      </w:pPr>
      <w:r>
        <w:t xml:space="preserve">Keep Joomla core and all installed extensions patched; audit installed plugins (particularly file-manager extensions such as eXtplorer).</w:t>
      </w:r>
    </w:p>
    <w:p>
      <w:pPr>
        <w:pStyle w:val="ListParagraph"/>
        <w:numPr>
          <w:ilvl w:val="0"/>
          <w:numId w:val="1"/>
        </w:numPr>
        <w:spacing w:after="60"/>
      </w:pPr>
      <w:r>
        <w:t xml:space="preserve">Deploy monitoring for anomalous process creation on web servers (Sysmon + SIEM correlation) to detect web shell and executable uploads early.</w:t>
      </w:r>
    </w:p>
    <w:p>
      <w:pPr>
        <w:pStyle w:val="ListParagraph"/>
        <w:numPr>
          <w:ilvl w:val="0"/>
          <w:numId w:val="1"/>
        </w:numPr>
        <w:spacing w:after="60"/>
      </w:pPr>
      <w:r>
        <w:t xml:space="preserve">Add the IOCs identified in this investigation to blocklists (IPs, domains, file hashes).</w:t>
      </w:r>
    </w:p>
    <w:p>
      <w:pPr>
        <w:pStyle w:val="ListParagraph"/>
        <w:numPr>
          <w:ilvl w:val="0"/>
          <w:numId w:val="1"/>
        </w:numPr>
        <w:spacing w:after="60"/>
      </w:pPr>
      <w:r>
        <w:t xml:space="preserve">Alert on outbound connections from web servers to unusual ports (in this case, port 3791).</w:t>
      </w:r>
    </w:p>
    <w:p>
      <w:pPr>
        <w:pStyle w:val="Heading1"/>
        <w:spacing w:after="160" w:before="320"/>
      </w:pPr>
      <w:r>
        <w:t xml:space="preserve">7. Conclusion</w:t>
      </w:r>
    </w:p>
    <w:p>
      <w:pPr>
        <w:spacing w:after="140"/>
      </w:pPr>
      <w:r>
        <w:t xml:space="preserve">This investigation confirmed the compromise of imreallynotbatman.com by the Po1s0n1vy group and fully reconstructed the attack chain from initial reconnaissance through final defacement. The indicators of compromise and tactics identified here can be used to harden the remainder of Wayne Enterprises' infrastructure and to detect future attempts by this group at an earlier stage.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Po1s0n1vy APT —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2026-07-21T22:57:15.308Z</dcterms:created>
  <dcterms:modified xsi:type="dcterms:W3CDTF">2026-07-21T22:57:15.308Z</dcterms:modified>
</cp:coreProperties>
</file>

<file path=docProps/custom.xml><?xml version="1.0" encoding="utf-8"?>
<Properties xmlns="http://schemas.openxmlformats.org/officeDocument/2006/custom-properties" xmlns:vt="http://schemas.openxmlformats.org/officeDocument/2006/docPropsVTypes"/>
</file>