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DC Hub Counter-Redline Notes</w:t>
      </w:r>
    </w:p>
    <w:p>
      <w:pPr>
        <w:spacing w:after="24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NLR Partnership Agreement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Version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— 2026-05-26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For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Gabriel Zuckerman (NLR), NLR Legal Counsel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From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Jonathan Martone, DC Hub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Documents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02 MOU Framework · 03 Research Data License v2 · 04 Publication Protocol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Note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00 Overview is informational only; 01 NDA awaiting NLR's standard form</w:t>
            </w:r>
          </w:p>
        </w:tc>
      </w:tr>
    </w:tbl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itemizes DC Hub's proposed changes to the NLR agreement package prior to execution. Twelve items are grouped by ownership: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DC Hub redlines (4)</w:t>
      </w:r>
      <w:r>
        <w:rPr>
          <w:rFonts w:ascii="Arial" w:cs="Arial" w:eastAsia="Arial" w:hAnsi="Arial"/>
          <w:sz w:val="22"/>
          <w:szCs w:val="22"/>
        </w:rPr>
        <w:t xml:space="preserve"> — specific text replacements we are proposing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NLR information requests (4)</w:t>
      </w:r>
      <w:r>
        <w:rPr>
          <w:rFonts w:ascii="Arial" w:cs="Arial" w:eastAsia="Arial" w:hAnsi="Arial"/>
          <w:sz w:val="22"/>
          <w:szCs w:val="22"/>
        </w:rPr>
        <w:t xml:space="preserve"> — placeholders we need NLR to fill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Bilateral decisions (4)</w:t>
      </w:r>
      <w:r>
        <w:rPr>
          <w:rFonts w:ascii="Arial" w:cs="Arial" w:eastAsia="Arial" w:hAnsi="Arial"/>
          <w:sz w:val="22"/>
          <w:szCs w:val="22"/>
        </w:rPr>
        <w:t xml:space="preserve"> — items where we propose a position and both sides agree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Recommended execution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4020"/>
        <w:gridCol w:w="3000"/>
      </w:tblGrid>
      <w:tr>
        <w:trPr>
          <w:tblHeader/>
          <w:trHeight w:val="360" w:hRule="atLeast"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Timing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week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NDA (01) — NLR's standard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NLR sends, DC Hub countersigns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Weeks 2–4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MOU (02) + Pub Protocol (04) co-execute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Both, w/ Phase 2 redlines settled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Weeks 5–8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License (03)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Both, w/ Phase 3 redlines settled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Weeks 9–13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CRADA / Joint Research Agreement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After validation study scopes</w:t>
            </w:r>
          </w:p>
        </w:tc>
      </w:tr>
    </w:tbl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A. DC Hub Redlines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A1. License Schedule B — add Tier 0 — Research Seed row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Document 03 (License v2), Schedule B (Fee Schedule and In-Kind Value Exchange)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NLR has executed a $3K/yr Stripe subscription (</w:t>
      </w:r>
      <w:r>
        <w:rPr>
          <w:rFonts w:ascii="Consolas" w:cs="Consolas" w:eastAsia="Consolas" w:hAnsi="Consolas"/>
          <w:sz w:val="20"/>
          <w:szCs w:val="20"/>
        </w:rPr>
        <w:t xml:space="preserve">buy.stripe.com/cNi3cwaNc0x75utdCqaZi0e</w:t>
      </w:r>
      <w:r>
        <w:rPr>
          <w:rFonts w:ascii="Arial" w:cs="Arial" w:eastAsia="Arial" w:hAnsi="Arial"/>
          <w:sz w:val="22"/>
          <w:szCs w:val="22"/>
        </w:rPr>
        <w:t xml:space="preserve">). Current License Tier 1 rate is $10K/yr. Without a Tier 0 row, the License is internally inconsistent with the executed payment.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 Schedule B fee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700"/>
        <w:gridCol w:w="1700"/>
        <w:gridCol w:w="2400"/>
      </w:tblGrid>
      <w:tr>
        <w:trPr>
          <w:tblHeader/>
          <w:trHeight w:val="36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Commercial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NLR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Tier 0 — Research Seed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(new)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Schedule A endpoints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$30K/yr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$3K/yr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(FY 2026 only)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Tier 1 — Research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Schedule A endpoints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$100K/yr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$10K/yr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Tier 2 — Research Plus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+ 99% SLA + bulk + quarterly methodology sync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$250K/yr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$25K/yr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 footnote on Tier 0:</w:t>
      </w:r>
    </w:p>
    <w:p>
      <w:pPr>
        <w:pBdr>
          <w:left w:val="single" w:color="2E75B6" w:sz="12" w:space="12"/>
        </w:pBdr>
        <w:spacing w:after="120" w:before="80"/>
        <w:ind w:left="5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Tier 0 — Research Seed is an introductory rate available for FY 2026 only. Year 2 (FY 2027) automatically transitions to Tier 1 at the then-current Tier 1 NLR rate, subject to the renewal-fee-adjustment mechanism in §4.4. The Stripe Payment Link referenced in Schedule B reflects the Tier 0 rate.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Keeps the License internally consistent with the executed payment and gives NLR a clean Year 2 transition into the standard Tier 1 research rate. Also gives future research-seed partners (after NLR proves the model) a copy-paste tier.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A2. License Schedule D — attribution domain correction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Document 03 (License v2), Schedule D (Attribution Language)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The proposed attribution language references </w:t>
      </w:r>
      <w:r>
        <w:rPr>
          <w:rFonts w:ascii="Consolas" w:cs="Consolas" w:eastAsia="Consolas" w:hAnsi="Consolas"/>
          <w:sz w:val="20"/>
          <w:szCs w:val="20"/>
        </w:rPr>
        <w:t xml:space="preserve">dchub.com</w:t>
      </w:r>
      <w:r>
        <w:rPr>
          <w:rFonts w:ascii="Arial" w:cs="Arial" w:eastAsia="Arial" w:hAnsi="Arial"/>
          <w:sz w:val="22"/>
          <w:szCs w:val="22"/>
        </w:rPr>
        <w:t xml:space="preserve">, which is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DC Hub's operating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Replace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"Data provided by DC Hub (dchub.com) under a research license to [NLR Operating Entity Legal Name]"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With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"Data provided by DC Hub (dchub.cloud) under a research license to [NLR Operating Entity Legal Name]"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Consolas" w:cs="Consolas" w:eastAsia="Consolas" w:hAnsi="Consolas"/>
          <w:sz w:val="20"/>
          <w:szCs w:val="20"/>
        </w:rPr>
        <w:t xml:space="preserve">dchub.cloud</w:t>
      </w:r>
      <w:r>
        <w:rPr>
          <w:rFonts w:ascii="Arial" w:cs="Arial" w:eastAsia="Arial" w:hAnsi="Arial"/>
          <w:sz w:val="22"/>
          <w:szCs w:val="22"/>
        </w:rPr>
        <w:t xml:space="preserve"> is DC Hub's live production domain (frontend on Cloudflare Pages, API on Railway, MCP server at </w:t>
      </w:r>
      <w:r>
        <w:rPr>
          <w:rFonts w:ascii="Consolas" w:cs="Consolas" w:eastAsia="Consolas" w:hAnsi="Consolas"/>
          <w:sz w:val="20"/>
          <w:szCs w:val="20"/>
        </w:rPr>
        <w:t xml:space="preserve">dchub.cloud/mcp</w:t>
      </w:r>
      <w:r>
        <w:rPr>
          <w:rFonts w:ascii="Arial" w:cs="Arial" w:eastAsia="Arial" w:hAnsi="Arial"/>
          <w:sz w:val="22"/>
          <w:szCs w:val="22"/>
        </w:rPr>
        <w:t xml:space="preserve">). </w:t>
      </w:r>
      <w:r>
        <w:rPr>
          <w:rFonts w:ascii="Consolas" w:cs="Consolas" w:eastAsia="Consolas" w:hAnsi="Consolas"/>
          <w:sz w:val="20"/>
          <w:szCs w:val="20"/>
        </w:rPr>
        <w:t xml:space="preserve">dchub.com</w:t>
      </w:r>
      <w:r>
        <w:rPr>
          <w:rFonts w:ascii="Arial" w:cs="Arial" w:eastAsia="Arial" w:hAnsi="Arial"/>
          <w:sz w:val="22"/>
          <w:szCs w:val="22"/>
        </w:rPr>
        <w:t xml:space="preserve"> is not operated by DC Hub and the URL will not resolve to our data products. Cited attributions in NLR's publications and reVeal exports must point to the live domain.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A3. License Schedule A.5 — strip "in development" qualifier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Document 03 (License v2), Schedule A.5 (reVeal-Specific Endpoints)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A.5 currently marks six reVeal-specific endpoints as "in development" for delivery during the Initial Term. All six are already shipped in production today and exercised by NLR partner keys.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 to reclassify from "in development" to "live":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3560"/>
      </w:tblGrid>
      <w:tr>
        <w:trPr>
          <w:tblHeader/>
          <w:trHeight w:val="360" w:hRule="atLeast"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Live since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 location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/api/v1/reveal-cell-bulk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2026-Q1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routes/reveal_endpoints.py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/api/v1/reveal-grid-export + /status/&lt;job_id&gt;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2026-Q1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routes/reveal_endpoints.py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/api/v1/reveal-validation-feed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2026-Q1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routes/reveal_endpoints.py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/api/v1/social-acceptance-index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2026-Q1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routes/reveal_endpoints.py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/api/v1/climate-risk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2026-Q2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routes/api_integration_wiring.py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/api/v1/carbon-intensity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2026-Q2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routes/api_integration_wiring.py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Proposal: </w:t>
      </w:r>
      <w:r>
        <w:rPr>
          <w:rFonts w:ascii="Arial" w:cs="Arial" w:eastAsia="Arial" w:hAnsi="Arial"/>
          <w:sz w:val="22"/>
          <w:szCs w:val="22"/>
        </w:rPr>
        <w:t xml:space="preserve">Move these six rows from A.5 ("in development") into A.4 ("Market and Facility Data") or relabel A.5 as "reVeal-Specific (live as of License effective date)".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"In development" creates an implicit delivery-risk clause that has already been satisfied. NLR partner keys exercise these endpoints today — verifiable via OpenAPI spec at </w:t>
      </w:r>
      <w:r>
        <w:rPr>
          <w:rFonts w:ascii="Consolas" w:cs="Consolas" w:eastAsia="Consolas" w:hAnsi="Consolas"/>
          <w:sz w:val="20"/>
          <w:szCs w:val="20"/>
        </w:rPr>
        <w:t xml:space="preserve">dchub.cloud/openapi.json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A4. License Schedule A — endpoint path naming alignment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Document 03 (License v2), Schedule A (all sub-sections)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A handful of License paths use a hyphenated form while live production code uses a nested form (or vice versa). To avoid an attribution-fails-to-resolve scenario in NLR publications, the License paths and the live paths must match exactly.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table (License draft → live 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  <w:trHeight w:val="36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License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Live 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/api/v1/grid-data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/api/v1/grid/data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DC Hub will add server-side alias so both resolve.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/api/v1/energy-prices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/api/v1/energy/retail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DC Hub will add server-side alias so both resolve.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/api/v1/renewable-energy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/api/v1/energy/renewable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DC Hub will add server-side alias so both resolve.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/api/v1/water-risk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/api/v1/water/stress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DC Hub will add server-side alias so both resolve.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/api/v1/fiber-intel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/api/v1/fiber/intel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DC Hub will add server-side alias so both resolve.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/api/v1/air-permitting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verify in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DC Hub will verify and confirm endpoint is live before License execution.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 Hub commitment: </w:t>
      </w:r>
      <w:r>
        <w:rPr>
          <w:rFonts w:ascii="Arial" w:cs="Arial" w:eastAsia="Arial" w:hAnsi="Arial"/>
          <w:sz w:val="22"/>
          <w:szCs w:val="22"/>
        </w:rPr>
        <w:t xml:space="preserve">Aliases land in production within 60 days of License effective date. License paths as drafted remain the canonical citation form.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Citation stability per Schedule G.3 — "no breaking change within 12 months of publication submission" — depends on the cited paths resolving. We add aliases (cheap, non-breaking) so both forms work.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B. NLR Information Requests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fields are bracketed placeholders in the agreement package. NLR Legal please provide before signature.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B1. NLR operating entity legal name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Used in: </w:t>
      </w:r>
      <w:r>
        <w:rPr>
          <w:rFonts w:ascii="Arial" w:cs="Arial" w:eastAsia="Arial" w:hAnsi="Arial"/>
          <w:sz w:val="22"/>
          <w:szCs w:val="22"/>
        </w:rPr>
        <w:t xml:space="preserve">All 4 documents — [NLR Operating Entity Legal Name]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Need: </w:t>
      </w:r>
      <w:r>
        <w:rPr>
          <w:rFonts w:ascii="Arial" w:cs="Arial" w:eastAsia="Arial" w:hAnsi="Arial"/>
          <w:sz w:val="22"/>
          <w:szCs w:val="22"/>
        </w:rPr>
        <w:t xml:space="preserve">Exact legal name, entity type, jurisdiction of formation (e.g., "National Laboratory of the Rockies, a federally funded research and development center operated by [Operator] under DOE contract [Number]").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B2. DOE prime contract number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Used in: </w:t>
      </w:r>
      <w:r>
        <w:rPr>
          <w:rFonts w:ascii="Arial" w:cs="Arial" w:eastAsia="Arial" w:hAnsi="Arial"/>
          <w:sz w:val="22"/>
          <w:szCs w:val="22"/>
        </w:rPr>
        <w:t xml:space="preserve">License Recitals, Publication Protocol §3.4 Acknowledgments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Need: </w:t>
      </w:r>
      <w:r>
        <w:rPr>
          <w:rFonts w:ascii="Arial" w:cs="Arial" w:eastAsia="Arial" w:hAnsi="Arial"/>
          <w:sz w:val="22"/>
          <w:szCs w:val="22"/>
        </w:rPr>
        <w:t xml:space="preserve">NLR's current prime contract number with the U.S. Department of Energy. Required for Acknowledgments paragraph in any joint publication output.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B3. NLR signatory + governing-law jurisdiction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Used in: </w:t>
      </w:r>
      <w:r>
        <w:rPr>
          <w:rFonts w:ascii="Arial" w:cs="Arial" w:eastAsia="Arial" w:hAnsi="Arial"/>
          <w:sz w:val="22"/>
          <w:szCs w:val="22"/>
        </w:rPr>
        <w:t xml:space="preserve">MOU and License signature blocks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Need: </w:t>
      </w:r>
      <w:r>
        <w:rPr>
          <w:rFonts w:ascii="Arial" w:cs="Arial" w:eastAsia="Arial" w:hAnsi="Arial"/>
          <w:sz w:val="22"/>
          <w:szCs w:val="22"/>
        </w:rPr>
        <w:t xml:space="preserve">Name + title of NLR signatory authorized to execute partnership agreements. Preferred governing-law jurisdiction for the License (DC Hub default: Delaware; federal law applies to NLR-specific provisions).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B4. NLR contacts (security, billing, PO procurement)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Used in: </w:t>
      </w:r>
      <w:r>
        <w:rPr>
          <w:rFonts w:ascii="Arial" w:cs="Arial" w:eastAsia="Arial" w:hAnsi="Arial"/>
          <w:sz w:val="22"/>
          <w:szCs w:val="22"/>
        </w:rPr>
        <w:t xml:space="preserve">License Schedule F.2 (Security and Incident Response) and Schedule B.5 (Invoicing)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Need: </w:t>
      </w:r>
      <w:r>
        <w:rPr>
          <w:rFonts w:ascii="Arial" w:cs="Arial" w:eastAsia="Arial" w:hAnsi="Arial"/>
          <w:sz w:val="22"/>
          <w:szCs w:val="22"/>
        </w:rPr>
        <w:t xml:space="preserve">NLR security contact for incident notification (License F.2, 72-hr breach window); NLR billing contact for invoicing; NLR procurement contact for PO and PO-amendment workflow.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C. Bilateral Decisions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C1. Tier election (Tier 1 vs Tier 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License Schedule 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 Hub recommendation: </w:t>
      </w:r>
      <w:r>
        <w:rPr>
          <w:rFonts w:ascii="Arial" w:cs="Arial" w:eastAsia="Arial" w:hAnsi="Arial"/>
          <w:sz w:val="22"/>
          <w:szCs w:val="22"/>
        </w:rPr>
        <w:t xml:space="preserve">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Tier 1 ($10K/yr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under Tier 0 row at $3K for FY 2026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)</w:t>
      </w:r>
      <w:r>
        <w:rPr>
          <w:rFonts w:ascii="Arial" w:cs="Arial" w:eastAsia="Arial" w:hAnsi="Arial"/>
          <w:sz w:val="22"/>
          <w:szCs w:val="22"/>
        </w:rPr>
        <w:t xml:space="preserve"> with explicit upgrade path to Tier 2 ($25K/yr) if NLR's dedicated DC-siting research funding closes.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Tier 2's $25K exceeds NLR's stated FY 2026 budget. Tier 1 endpoint surface covers the validation paper scope. Tier 2's bulk endpoints (4 full-US grid exports/mo) become useful when NLR begins multi-region reVeal validation in Year 2+.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C2. Security certification language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License Schedule F (Security and Incident Response)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draft language: </w:t>
      </w:r>
      <w:r>
        <w:rPr>
          <w:rFonts w:ascii="Arial" w:cs="Arial" w:eastAsia="Arial" w:hAnsi="Arial"/>
          <w:sz w:val="22"/>
          <w:szCs w:val="22"/>
        </w:rPr>
        <w:t xml:space="preserve">Claims "NIST 800-53 alignment, TLS 1.2+, AES-256 at rest, 72-hour breach notification".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 Hub current operational state: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TLS 1.2+ across all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AES-256 at rest (Cloudflare + Railway + Neon Postgres)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NIST 800-53 framework alignment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active third-party SOC 2 / FedRAMP / ISO 27001 audit certification</w:t>
      </w:r>
      <w:r>
        <w:rPr>
          <w:rFonts w:ascii="Arial" w:cs="Arial" w:eastAsia="Arial" w:hAnsi="Arial"/>
          <w:sz w:val="22"/>
          <w:szCs w:val="22"/>
        </w:rPr>
        <w:t xml:space="preserve"> at License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DC Hub commits to begin SOC 2 Type 1 cycle in FY 2027 if NLR research output requires it (and to fund the cycle from the Year-2 Tier 1 fee)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 Schedule F language change:</w:t>
      </w:r>
    </w:p>
    <w:p>
      <w:pPr>
        <w:pBdr>
          <w:left w:val="single" w:color="2E75B6" w:sz="12" w:space="12"/>
        </w:pBdr>
        <w:spacing w:after="120" w:before="80"/>
        <w:ind w:left="5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DC Hub maintains operational security aligned with NIST 800-53 controls. DC Hub commits to begin a SOC 2 Type 1 audit cycle in FY 2027 if NLR or its publication venue requires third-party certification. No active SOC 2 / FedRAMP / ISO 27001 certification exists as of License effective date.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Honest claim of current state. Avoids representation risk if NLR or its institutional reviewers audit the cert claim.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C3. DC Hub legal entity name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All 4 documents — DC Hub party signature block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draft: </w:t>
      </w:r>
      <w:r>
        <w:rPr>
          <w:rFonts w:ascii="Arial" w:cs="Arial" w:eastAsia="Arial" w:hAnsi="Arial"/>
          <w:sz w:val="22"/>
          <w:szCs w:val="22"/>
        </w:rPr>
        <w:t xml:space="preserve">"DC Hub" or "Martone Advisors, LLC · DC Hub"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 Hub action: </w:t>
      </w:r>
      <w:r>
        <w:rPr>
          <w:rFonts w:ascii="Arial" w:cs="Arial" w:eastAsia="Arial" w:hAnsi="Arial"/>
          <w:sz w:val="22"/>
          <w:szCs w:val="22"/>
        </w:rPr>
        <w:t xml:space="preserve">Confirm exact d/b/a or filed entity name. Likely "Martone Advisors, LLC, a [STATE] limited liability company, doing business as DC Hub". Final form provided before signature.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C4. Counsel engagement protocol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Overview p3 (DC Hub-side commitment)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 Hub action: </w:t>
      </w:r>
      <w:r>
        <w:rPr>
          <w:rFonts w:ascii="Arial" w:cs="Arial" w:eastAsia="Arial" w:hAnsi="Arial"/>
          <w:sz w:val="22"/>
          <w:szCs w:val="22"/>
        </w:rPr>
        <w:t xml:space="preserve">Engaging startup counsel with FFRDC / federal data-licensing experience for 10–20-hour redline review of the package.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NLR proposal request: </w:t>
      </w:r>
      <w:r>
        <w:rPr>
          <w:rFonts w:ascii="Arial" w:cs="Arial" w:eastAsia="Arial" w:hAnsi="Arial"/>
          <w:sz w:val="22"/>
          <w:szCs w:val="22"/>
        </w:rPr>
        <w:t xml:space="preserve">Confirm whether NLR Legal prefers a serial redline cycle (NLR → DC Hub → NLR → execution) or parallel review (both counsels redline simultaneously; merged version finalized in a 30-min call).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Reference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Live endpoint surface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OpenAPI spec: </w:t>
      </w:r>
      <w:r>
        <w:rPr>
          <w:rFonts w:ascii="Consolas" w:cs="Consolas" w:eastAsia="Consolas" w:hAnsi="Consolas"/>
          <w:sz w:val="20"/>
          <w:szCs w:val="20"/>
        </w:rPr>
        <w:t xml:space="preserve">https://dchub.cloud/openapi.json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~25 Schedule A endpoints verifiable via: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curl -H "X-API-Key: &lt;NLR-developer-key&gt;"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"https://dchub.cloud/api/v1/site-forecast?lat=39.04&amp;lon=-77.48&amp;state=VA"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A coverage by category (post-A4 path alignment):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360"/>
        <w:gridCol w:w="2200"/>
      </w:tblGrid>
      <w:tr>
        <w:trPr>
          <w:tblHeader/>
          <w:trHeight w:val="36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Schedule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Live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Grid and Interconnection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Siting Variables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live (1 to verify per A4 above)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Composite Intelligence (reVeal-aligned)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Market and Facility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 + quarterly snapshot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reVeal-Specific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live (per A3 redline above)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~25 endpoints + 1 snapshot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Working paper title (Validation Study)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Publication Protocol §2.1 (Title and Scope):</w:t>
      </w:r>
    </w:p>
    <w:p>
      <w:pPr>
        <w:pBdr>
          <w:left w:val="single" w:color="2E75B6" w:sz="12" w:space="12"/>
        </w:pBdr>
        <w:spacing w:after="120" w:before="80"/>
        <w:ind w:left="5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Validating Geospatial Data Center Buildout Projections with Real-Time Operational Signals — A reVeal × DC Hub Case Study, 2025–2028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Authorship per Publication Protocol Schedule A: Galen Maclaurin (NLR), Jonathan Martone (DC Hub), Gabriel Zuckerman (NLR) — order TBC by JSC at kickoff.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 methodology questions (for JSC kickoff agenda)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Pilot region(s)</w:t>
      </w:r>
      <w:r>
        <w:rPr>
          <w:rFonts w:ascii="Arial" w:cs="Arial" w:eastAsia="Arial" w:hAnsi="Arial"/>
          <w:sz w:val="22"/>
          <w:szCs w:val="22"/>
        </w:rPr>
        <w:t xml:space="preserve"> — DC Hub suggestion: PJM (Ashburn corridor) + ERCOT (Texas Triangle). NLR to confirm based on reVeal output saturation.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limitation</w:t>
      </w:r>
      <w:r>
        <w:rPr>
          <w:rFonts w:ascii="Arial" w:cs="Arial" w:eastAsia="Arial" w:hAnsi="Arial"/>
          <w:sz w:val="22"/>
          <w:szCs w:val="22"/>
        </w:rPr>
        <w:t xml:space="preserve"> — DC Hub suggestion: transmission hosting capacity (highest-signal validation against reVeal's reserve-margin layer). NLR to confirm or counter-propose.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cadence</w:t>
      </w:r>
      <w:r>
        <w:rPr>
          <w:rFonts w:ascii="Arial" w:cs="Arial" w:eastAsia="Arial" w:hAnsi="Arial"/>
          <w:sz w:val="22"/>
          <w:szCs w:val="22"/>
        </w:rPr>
        <w:t xml:space="preserve"> — quarterly comparison reports vs. one end-of-study report?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Journal/venue target</w:t>
      </w:r>
      <w:r>
        <w:rPr>
          <w:rFonts w:ascii="Arial" w:cs="Arial" w:eastAsia="Arial" w:hAnsi="Arial"/>
          <w:sz w:val="22"/>
          <w:szCs w:val="22"/>
        </w:rPr>
        <w:t xml:space="preserve"> — affects Publication Protocol §G.3 endpoint-stability commitment timeline (12 months from submission).</w:t>
      </w:r>
    </w:p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File pointers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  <w:trHeight w:val="360" w:hRule="atLeast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docs/NLR_LEGAL_REDLINE_NOTES.md and 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Partnership roadmap (internal)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docs/NLR_PARTNERSHIP_ROADMAP.md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Stripe Payment Link (executed)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https://buy.stripe.com/cNi3cwaNc0x75utdCqaZi0e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Onboarding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scripts/r72_onboard_reveal_nlr.sh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Partner-key admin endpoints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routes/partner_key_issuer.py</w:t>
            </w:r>
          </w:p>
        </w:tc>
      </w:tr>
    </w:tbl>
    <w:p>
      <w:pPr>
        <w:pBdr>
          <w:bottom w:val="single" w:color="888888" w:sz="6" w:space="1"/>
        </w:pBdr>
        <w:spacing w:after="240" w:before="24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Next actions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 Hub: </w:t>
      </w:r>
      <w:r>
        <w:rPr>
          <w:rFonts w:ascii="Arial" w:cs="Arial" w:eastAsia="Arial" w:hAnsi="Arial"/>
          <w:sz w:val="22"/>
          <w:szCs w:val="22"/>
        </w:rPr>
        <w:t xml:space="preserve">Send this document to Gabe with the original 4 PDFs (so his counsel has the full package), and queue the four A1–A4 changes for incorporation into a revised License draft as soon as Gabe's side confirms or counters each.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NLR: </w:t>
      </w:r>
      <w:r>
        <w:rPr>
          <w:rFonts w:ascii="Arial" w:cs="Arial" w:eastAsia="Arial" w:hAnsi="Arial"/>
          <w:sz w:val="22"/>
          <w:szCs w:val="22"/>
        </w:rPr>
        <w:t xml:space="preserve">Provide B1–B4 information and respond to C1–C4 positions. JSC kickoff to schedule once NDA executes.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DC Hub × NLR — Counter-Redline Notes v1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 Hub Counter-Redline Notes — NLR Partnership Agreement Package</dc:title>
  <dc:creator>DC Hub (Jonathan Martone)</dc:creator>
  <dc:description>Version 1, 2026-05-26. For Gabriel Zuckerman (NLR) and NLR Legal Counsel.</dc:description>
  <cp:lastModifiedBy>Un-named</cp:lastModifiedBy>
  <cp:revision>1</cp:revision>
  <dcterms:created xsi:type="dcterms:W3CDTF">2026-05-26T20:09:44.068Z</dcterms:created>
  <dcterms:modified xsi:type="dcterms:W3CDTF">2026-05-26T20:09:44.072Z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