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2B46"/>
          <w:sz w:val="40"/>
        </w:rPr>
        <w:t>DC Hub × NLR — Derived Variables &amp; Geometry Reference</w:t>
      </w:r>
    </w:p>
    <w:p>
      <w:r>
        <w:rPr>
          <w:b/>
        </w:rPr>
        <w:t>Version 1 — 2026-07-15 — for JSC / reVeal technical review</w:t>
      </w:r>
    </w:p>
    <w:p>
      <w:r>
        <w:t xml:space="preserve">This document is the data-dictionary companion to the NLR Intelligence Layer and the Phase 3 parcel-geometry enhancements shipped for reVeal. It defines every </w:t>
      </w:r>
      <w:r>
        <w:rPr>
          <w:b/>
        </w:rPr>
        <w:t>derived variable</w:t>
      </w:r>
      <w:r>
        <w:t xml:space="preserve"> DC Hub computes — the exact inputs, the formula, the output range, and how to read it — plus the </w:t>
      </w:r>
      <w:r>
        <w:rPr>
          <w:b/>
        </w:rPr>
        <w:t>geometry</w:t>
      </w:r>
      <w:r>
        <w:t xml:space="preserve"> methods that back the parcel and grid-headroom surfaces.</w:t>
      </w:r>
    </w:p>
    <w:p>
      <w:r>
        <w:t xml:space="preserve">Guiding principle, consistent with the MOU's trust-first posture: </w:t>
      </w:r>
      <w:r>
        <w:rPr>
          <w:b/>
        </w:rPr>
        <w:t>every number here is either MEASURED (computed from geometry you or DC Hub supply) or MODELED (a proxy score from lookup tables + published resource data).</w:t>
      </w:r>
      <w:r>
        <w:t xml:space="preserve"> Each variable below is tagged so an NLR researcher knows how much positional/estimation error to carry. Nothing here is a bare number without a stated basis.</w:t>
      </w:r>
    </w:p>
    <w:p>
      <w:r>
        <w:t xml:space="preserve">Satisfies MOU </w:t>
      </w:r>
      <w:r>
        <w:rPr>
          <w:b/>
        </w:rPr>
        <w:t>Schedule E.1</w:t>
      </w:r>
      <w:r>
        <w:t xml:space="preserve"> (Data Dictionary deliverable) for the derived-intelligence and geometry surfaces. Complements — does not replace — the machine-readable </w:t>
      </w:r>
      <w:r>
        <w:rPr>
          <w:rFonts w:ascii="Consolas" w:hAnsi="Consolas"/>
          <w:sz w:val="18"/>
        </w:rPr>
        <w:t>/api/v1/methodology</w:t>
      </w:r>
      <w:r>
        <w:t xml:space="preserve"> and </w:t>
      </w:r>
      <w:r>
        <w:rPr>
          <w:rFonts w:ascii="Consolas" w:hAnsi="Consolas"/>
          <w:sz w:val="18"/>
        </w:rPr>
        <w:t>/api/v1/data-dictionary.json</w:t>
      </w:r>
      <w:r>
        <w:t xml:space="preserve"> endpoints (Schedule A.8).</w:t>
      </w:r>
    </w:p>
    <w:p>
      <w:r>
        <w:t>Cross-references:</w:t>
      </w:r>
    </w:p>
    <w:p>
      <w:pPr>
        <w:pStyle w:val="ListBullet"/>
      </w:pPr>
      <w:r>
        <w:rPr>
          <w:rFonts w:ascii="Consolas" w:hAnsi="Consolas"/>
          <w:color w:val="23527C"/>
          <w:sz w:val="18"/>
          <w:u w:val="single"/>
        </w:rPr>
        <w:t>NLR_REVEAL_INTEGRATION_GUIDE.md</w:t>
      </w:r>
      <w:r>
        <w:t xml:space="preserve"> — endpoint wiring</w:t>
      </w:r>
    </w:p>
    <w:p>
      <w:pPr>
        <w:pStyle w:val="ListBullet"/>
      </w:pPr>
      <w:r>
        <w:rPr>
          <w:rFonts w:ascii="Consolas" w:hAnsi="Consolas"/>
          <w:color w:val="23527C"/>
          <w:sz w:val="18"/>
          <w:u w:val="single"/>
        </w:rPr>
        <w:t>NLR_SCHEDULE_A_EXPANSION.md</w:t>
      </w:r>
      <w:r>
        <w:t xml:space="preserve"> — endpoint surface &amp; schedules</w:t>
      </w:r>
    </w:p>
    <w:p>
      <w:pPr>
        <w:pStyle w:val="ListBullet"/>
      </w:pPr>
      <w:r>
        <w:rPr>
          <w:rFonts w:ascii="Consolas" w:hAnsi="Consolas"/>
          <w:color w:val="23527C"/>
          <w:sz w:val="18"/>
          <w:u w:val="single"/>
        </w:rPr>
        <w:t>NLR_PRODUCT_ROADMAP.md</w:t>
      </w:r>
      <w:r>
        <w:t xml:space="preserve"> — where these fit the roadmap</w:t>
      </w:r>
    </w:p>
    <w:p>
      <w:pPr>
        <w:pBdr>
          <w:bottom w:val="single" w:sz="6" w:space="1" w:color="C8D4E0"/>
        </w:pBdr>
      </w:pPr>
    </w:p>
    <w:p>
      <w:pPr>
        <w:pStyle w:val="Heading2"/>
      </w:pPr>
      <w:r>
        <w:rPr>
          <w:color w:val="0F2B46"/>
          <w:sz w:val="30"/>
        </w:rPr>
        <w:t>TL;DR — what's new since the June 10 JSC kickoff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3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Enhancement</w:t>
            </w:r>
          </w:p>
        </w:tc>
        <w:tc>
          <w:tcPr>
            <w:tcW w:type="dxa" w:w="233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Surface</w:t>
            </w:r>
          </w:p>
        </w:tc>
        <w:tc>
          <w:tcPr>
            <w:tcW w:type="dxa" w:w="1364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  <w:tc>
          <w:tcPr>
            <w:tcW w:type="dxa" w:w="3896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What it gives reVeal</w:t>
            </w:r>
          </w:p>
        </w:tc>
      </w:tr>
      <w:tr>
        <w:tc>
          <w:tcPr>
            <w:tcW w:type="dxa" w:w="2338"/>
          </w:tcPr>
          <w:p>
            <w:pPr>
              <w:spacing w:after="20"/>
            </w:pPr>
            <w:r/>
            <w:r>
              <w:rPr>
                <w:b/>
              </w:rPr>
              <w:t>Geodesic parcel geometry</w:t>
            </w:r>
          </w:p>
        </w:tc>
        <w:tc>
          <w:tcPr>
            <w:tcW w:type="dxa" w:w="233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POST /api/v1/analyze-parcel</w:t>
            </w:r>
          </w:p>
        </w:tc>
        <w:tc>
          <w:tcPr>
            <w:tcW w:type="dxa" w:w="1364"/>
          </w:tcPr>
          <w:p>
            <w:pPr>
              <w:spacing w:after="20"/>
            </w:pPr>
            <w:r/>
            <w:r>
              <w:rPr>
                <w:b/>
              </w:rPr>
              <w:t>Measured</w:t>
            </w:r>
          </w:p>
        </w:tc>
        <w:tc>
          <w:tcPr>
            <w:tcW w:type="dxa" w:w="3896"/>
          </w:tcPr>
          <w:p>
            <w:pPr>
              <w:spacing w:after="20"/>
            </w:pPr>
            <w:r/>
            <w:r>
              <w:t>Acreage, centroid/representative_point, contiguity — from any GeoJSON, zero DC Hub positional error</w:t>
            </w:r>
          </w:p>
        </w:tc>
      </w:tr>
      <w:tr>
        <w:tc>
          <w:tcPr>
            <w:tcW w:type="dxa" w:w="2338"/>
          </w:tcPr>
          <w:p>
            <w:pPr>
              <w:spacing w:after="20"/>
            </w:pPr>
            <w:r/>
            <w:r>
              <w:rPr>
                <w:b/>
              </w:rPr>
              <w:t>Hosted parcel-boundary lookup</w:t>
            </w:r>
          </w:p>
        </w:tc>
        <w:tc>
          <w:tcPr>
            <w:tcW w:type="dxa" w:w="233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GET /api/v1/parcels/lookup</w:t>
            </w:r>
            <w:r>
              <w:t xml:space="preserve">, and </w:t>
            </w:r>
            <w:r>
              <w:rPr>
                <w:rFonts w:ascii="Consolas" w:hAnsi="Consolas"/>
                <w:sz w:val="18"/>
              </w:rPr>
              <w:t>analyze-parcel</w:t>
            </w:r>
            <w:r>
              <w:t xml:space="preserve"> with bare </w:t>
            </w:r>
            <w:r>
              <w:rPr>
                <w:rFonts w:ascii="Consolas" w:hAnsi="Consolas"/>
                <w:sz w:val="18"/>
              </w:rPr>
              <w:t>lat/lng</w:t>
            </w:r>
          </w:p>
        </w:tc>
        <w:tc>
          <w:tcPr>
            <w:tcW w:type="dxa" w:w="1364"/>
          </w:tcPr>
          <w:p>
            <w:pPr>
              <w:spacing w:after="20"/>
            </w:pPr>
            <w:r/>
            <w:r>
              <w:rPr>
                <w:b/>
              </w:rPr>
              <w:t>Measured</w:t>
            </w:r>
          </w:p>
        </w:tc>
        <w:tc>
          <w:tcPr>
            <w:tcW w:type="dxa" w:w="3896"/>
          </w:tcPr>
          <w:p>
            <w:pPr>
              <w:spacing w:after="20"/>
            </w:pPr>
            <w:r/>
            <w:r>
              <w:t>Point → containing parcel polygon from hosted county/state GIS (pilot: Loudoun County VA)</w:t>
            </w:r>
          </w:p>
        </w:tc>
      </w:tr>
      <w:tr>
        <w:tc>
          <w:tcPr>
            <w:tcW w:type="dxa" w:w="2338"/>
          </w:tcPr>
          <w:p>
            <w:pPr>
              <w:spacing w:after="20"/>
            </w:pPr>
            <w:r/>
            <w:r>
              <w:rPr>
                <w:b/>
              </w:rPr>
              <w:t>data_basis provenance block</w:t>
            </w:r>
          </w:p>
        </w:tc>
        <w:tc>
          <w:tcPr>
            <w:tcW w:type="dxa" w:w="233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analyze-parcel</w:t>
            </w:r>
            <w:r>
              <w:t xml:space="preserve"> response</w:t>
            </w:r>
          </w:p>
        </w:tc>
        <w:tc>
          <w:tcPr>
            <w:tcW w:type="dxa" w:w="1364"/>
          </w:tcPr>
          <w:p>
            <w:pPr>
              <w:spacing w:after="20"/>
            </w:pPr>
            <w:r/>
            <w:r>
              <w:t>—</w:t>
            </w:r>
          </w:p>
        </w:tc>
        <w:tc>
          <w:tcPr>
            <w:tcW w:type="dxa" w:w="3896"/>
          </w:tcPr>
          <w:p>
            <w:pPr>
              <w:spacing w:after="20"/>
            </w:pPr>
            <w:r/>
            <w:r>
              <w:t>First-class "measured vs modeled" flag on every geometry read</w:t>
            </w:r>
          </w:p>
        </w:tc>
      </w:tr>
      <w:tr>
        <w:tc>
          <w:tcPr>
            <w:tcW w:type="dxa" w:w="2338"/>
          </w:tcPr>
          <w:p>
            <w:pPr>
              <w:spacing w:after="20"/>
            </w:pPr>
            <w:r/>
            <w:r>
              <w:rPr>
                <w:b/>
              </w:rPr>
              <w:t>Derived-variable dictionary</w:t>
            </w:r>
          </w:p>
        </w:tc>
        <w:tc>
          <w:tcPr>
            <w:tcW w:type="dxa" w:w="2338"/>
          </w:tcPr>
          <w:p>
            <w:pPr>
              <w:spacing w:after="20"/>
            </w:pPr>
            <w:r/>
            <w:r>
              <w:t>this document</w:t>
            </w:r>
          </w:p>
        </w:tc>
        <w:tc>
          <w:tcPr>
            <w:tcW w:type="dxa" w:w="1364"/>
          </w:tcPr>
          <w:p>
            <w:pPr>
              <w:spacing w:after="20"/>
            </w:pPr>
            <w:r/>
            <w:r>
              <w:t>Mixed</w:t>
            </w:r>
          </w:p>
        </w:tc>
        <w:tc>
          <w:tcPr>
            <w:tcW w:type="dxa" w:w="3896"/>
          </w:tcPr>
          <w:p>
            <w:pPr>
              <w:spacing w:after="20"/>
            </w:pPr>
            <w:r/>
            <w:r>
              <w:t>Formal definition of all NLR Intelligence Layer scores</w:t>
            </w:r>
          </w:p>
        </w:tc>
      </w:tr>
    </w:tbl>
    <w:p/>
    <w:p>
      <w:pPr>
        <w:pBdr>
          <w:bottom w:val="single" w:sz="6" w:space="1" w:color="C8D4E0"/>
        </w:pBdr>
      </w:pPr>
    </w:p>
    <w:p>
      <w:pPr>
        <w:pStyle w:val="Heading2"/>
      </w:pPr>
      <w:r>
        <w:rPr>
          <w:color w:val="0F2B46"/>
          <w:sz w:val="30"/>
        </w:rPr>
        <w:t>Part 1 — Geometry (MEASURED)</w:t>
      </w:r>
    </w:p>
    <w:p>
      <w:r>
        <w:t xml:space="preserve">The geometry engine is </w:t>
      </w:r>
      <w:r>
        <w:rPr>
          <w:b/>
        </w:rPr>
        <w:t>self-contained</w:t>
      </w:r>
      <w:r>
        <w:t xml:space="preserve"> — no PostGIS or Shapely dependency in the request path. It operates on any caller-supplied WGS84 GeoJSON, so the interface works whether the polygon comes from the caller or from DC Hub's hosted parcel layer.</w:t>
      </w:r>
    </w:p>
    <w:p>
      <w:r>
        <w:t xml:space="preserve">Source: </w:t>
      </w:r>
      <w:r>
        <w:rPr>
          <w:rFonts w:ascii="Consolas" w:hAnsi="Consolas"/>
          <w:color w:val="23527C"/>
          <w:sz w:val="18"/>
          <w:u w:val="single"/>
        </w:rPr>
        <w:t>routes/interconnection_queues.py</w:t>
      </w:r>
      <w:r>
        <w:t xml:space="preserve"> (</w:t>
      </w:r>
      <w:r>
        <w:rPr>
          <w:rFonts w:ascii="Consolas" w:hAnsi="Consolas"/>
          <w:sz w:val="18"/>
        </w:rPr>
        <w:t>_ring_area_m2</w:t>
      </w:r>
      <w:r>
        <w:t xml:space="preserve">, </w:t>
      </w:r>
      <w:r>
        <w:rPr>
          <w:rFonts w:ascii="Consolas" w:hAnsi="Consolas"/>
          <w:sz w:val="18"/>
        </w:rPr>
        <w:t>_ring_centroid</w:t>
      </w:r>
      <w:r>
        <w:t xml:space="preserve">, </w:t>
      </w:r>
      <w:r>
        <w:rPr>
          <w:rFonts w:ascii="Consolas" w:hAnsi="Consolas"/>
          <w:sz w:val="18"/>
        </w:rPr>
        <w:t>_members_from_geometry</w:t>
      </w:r>
      <w:r>
        <w:t xml:space="preserve">, </w:t>
      </w:r>
      <w:r>
        <w:rPr>
          <w:rFonts w:ascii="Consolas" w:hAnsi="Consolas"/>
          <w:sz w:val="18"/>
        </w:rPr>
        <w:t>api_analyze_parcel</w:t>
      </w:r>
      <w:r>
        <w:t xml:space="preserve">) and </w:t>
      </w:r>
      <w:r>
        <w:rPr>
          <w:rFonts w:ascii="Consolas" w:hAnsi="Consolas"/>
          <w:color w:val="23527C"/>
          <w:sz w:val="18"/>
          <w:u w:val="single"/>
        </w:rPr>
        <w:t>routes/parcels.py</w:t>
      </w:r>
      <w:r>
        <w:t xml:space="preserve"> (hosted lookup).</w:t>
      </w:r>
    </w:p>
    <w:p>
      <w:pPr>
        <w:pStyle w:val="Heading3"/>
      </w:pPr>
      <w:r>
        <w:rPr>
          <w:color w:val="23527C"/>
          <w:sz w:val="25"/>
        </w:rPr>
        <w:t>1.1 total_acres / per-member acres — geodesic area</w:t>
      </w:r>
    </w:p>
    <w:p>
      <w:pPr>
        <w:pStyle w:val="ListBullet"/>
      </w:pPr>
      <w:r>
        <w:rPr>
          <w:b/>
        </w:rPr>
        <w:t>Input:</w:t>
      </w:r>
      <w:r>
        <w:t xml:space="preserve"> the outer ring(s) of a GeoJSON </w:t>
      </w:r>
      <w:r>
        <w:rPr>
          <w:rFonts w:ascii="Consolas" w:hAnsi="Consolas"/>
          <w:sz w:val="18"/>
        </w:rPr>
        <w:t>Polygon</w:t>
      </w:r>
      <w:r>
        <w:t xml:space="preserve"> / </w:t>
      </w:r>
      <w:r>
        <w:rPr>
          <w:rFonts w:ascii="Consolas" w:hAnsi="Consolas"/>
          <w:sz w:val="18"/>
        </w:rPr>
        <w:t>MultiPolygon</w:t>
      </w:r>
      <w:r>
        <w:t xml:space="preserve">, as </w:t>
      </w:r>
      <w:r>
        <w:rPr>
          <w:rFonts w:ascii="Consolas" w:hAnsi="Consolas"/>
          <w:sz w:val="18"/>
        </w:rPr>
        <w:t>[lng, lat]</w:t>
      </w:r>
      <w:r>
        <w:t xml:space="preserve"> vertex pairs (WGS84 / EPSG:4326).</w:t>
      </w:r>
    </w:p>
    <w:p>
      <w:pPr>
        <w:pStyle w:val="ListBullet"/>
      </w:pPr>
      <w:r>
        <w:rPr>
          <w:b/>
        </w:rPr>
        <w:t>Method:</w:t>
      </w:r>
      <w:r>
        <w:t xml:space="preserve"> spherical-excess line integral on a sphere of radius </w:t>
      </w:r>
      <w:r>
        <w:rPr>
          <w:b/>
        </w:rPr>
        <w:t>R = 6,378,137 m</w:t>
      </w:r>
      <w:r>
        <w:t xml:space="preserve"> (WGS84 semi-major axis):</w:t>
      </w:r>
    </w:p>
    <w:p>
      <w:pPr>
        <w:spacing w:before="80" w:after="80"/>
        <w:ind w:left="216"/>
        <w:shd w:val="clear" w:fill="F2F4F7"/>
      </w:pPr>
      <w:r>
        <w:rPr>
          <w:rFonts w:ascii="Consolas" w:hAnsi="Consolas"/>
          <w:sz w:val="18"/>
        </w:rPr>
        <w:t xml:space="preserve">  A_m² = | Σᵢ  radians(lonᵢ₊₁ − lonᵢ) · (2 + sin(latᵢ) + sin(latᵢ₊₁)) · R² / 2 |</w:t>
        <w:br/>
      </w:r>
      <w:r>
        <w:rPr>
          <w:rFonts w:ascii="Consolas" w:hAnsi="Consolas"/>
          <w:sz w:val="18"/>
        </w:rPr>
        <w:t xml:space="preserve">  acres = A_m² / 4046.8564224</w:t>
      </w:r>
    </w:p>
    <w:p>
      <w:pPr>
        <w:pStyle w:val="ListBullet"/>
      </w:pPr>
      <w:r>
        <w:rPr>
          <w:b/>
        </w:rPr>
        <w:t>Output:</w:t>
      </w:r>
      <w:r>
        <w:t xml:space="preserve"> </w:t>
      </w:r>
      <w:r>
        <w:rPr>
          <w:rFonts w:ascii="Consolas" w:hAnsi="Consolas"/>
          <w:sz w:val="18"/>
        </w:rPr>
        <w:t>acres</w:t>
      </w:r>
      <w:r>
        <w:t xml:space="preserve"> per member (rounded 2 dp); </w:t>
      </w:r>
      <w:r>
        <w:rPr>
          <w:rFonts w:ascii="Consolas" w:hAnsi="Consolas"/>
          <w:sz w:val="18"/>
        </w:rPr>
        <w:t>total_acres</w:t>
      </w:r>
      <w:r>
        <w:t xml:space="preserve"> = sum across members.</w:t>
      </w:r>
    </w:p>
    <w:p>
      <w:pPr>
        <w:pStyle w:val="ListBullet"/>
      </w:pPr>
      <w:r>
        <w:rPr>
          <w:b/>
        </w:rPr>
        <w:t>Basis:</w:t>
      </w:r>
      <w:r>
        <w:t xml:space="preserve"> </w:t>
      </w:r>
      <w:r>
        <w:rPr>
          <w:b/>
        </w:rPr>
        <w:t>MEASURED.</w:t>
      </w:r>
      <w:r>
        <w:t xml:space="preserve"> Ground truth from the exact vertices supplied — DC Hub adds </w:t>
      </w:r>
      <w:r>
        <w:rPr>
          <w:b/>
        </w:rPr>
        <w:t>0 m</w:t>
      </w:r>
      <w:r>
        <w:t xml:space="preserve"> of positional error. Accurate to well under a metre at parcel scale.</w:t>
      </w:r>
    </w:p>
    <w:p>
      <w:pPr>
        <w:pStyle w:val="ListBullet"/>
      </w:pPr>
      <w:r>
        <w:rPr>
          <w:b/>
        </w:rPr>
        <w:t>Why spherical-excess, not planar:</w:t>
      </w:r>
      <w:r>
        <w:t xml:space="preserve"> a planar (shoelace-in-degrees) area is wrong by the cosine-of-latitude distortion — material at continental-US latitudes. Spherical excess is latitude-correct without a projection step.</w:t>
      </w:r>
    </w:p>
    <w:p>
      <w:pPr>
        <w:pStyle w:val="Heading3"/>
      </w:pPr>
      <w:r>
        <w:rPr>
          <w:color w:val="23527C"/>
          <w:sz w:val="25"/>
        </w:rPr>
        <w:t>1.2 representative_point — the anchor centroid</w:t>
      </w:r>
    </w:p>
    <w:p>
      <w:pPr>
        <w:pStyle w:val="ListBullet"/>
      </w:pPr>
      <w:r>
        <w:rPr>
          <w:b/>
        </w:rPr>
        <w:t>Method:</w:t>
      </w:r>
      <w:r>
        <w:t xml:space="preserve"> planar </w:t>
      </w:r>
      <w:r>
        <w:rPr>
          <w:b/>
        </w:rPr>
        <w:t>shoelace centroid</w:t>
      </w:r>
      <w:r>
        <w:t xml:space="preserve"> of the </w:t>
      </w:r>
      <w:r>
        <w:rPr>
          <w:b/>
        </w:rPr>
        <w:t>largest-area member</w:t>
      </w:r>
      <w:r>
        <w:t xml:space="preserve">, returned as </w:t>
      </w:r>
      <w:r>
        <w:rPr>
          <w:rFonts w:ascii="Consolas" w:hAnsi="Consolas"/>
          <w:sz w:val="18"/>
        </w:rPr>
        <w:t>{lat, lng}</w:t>
      </w:r>
      <w:r>
        <w:t>. Degenerate rings fall back to the vertex mean.</w:t>
      </w:r>
    </w:p>
    <w:p>
      <w:pPr>
        <w:pStyle w:val="ListBullet"/>
      </w:pPr>
      <w:r>
        <w:rPr>
          <w:b/>
        </w:rPr>
        <w:t>Basis:</w:t>
      </w:r>
      <w:r>
        <w:t xml:space="preserve"> </w:t>
      </w:r>
      <w:r>
        <w:rPr>
          <w:b/>
        </w:rPr>
        <w:t>MEASURED</w:t>
      </w:r>
      <w:r>
        <w:t xml:space="preserve"> (a few metres at parcel scale).</w:t>
      </w:r>
    </w:p>
    <w:p>
      <w:pPr>
        <w:pStyle w:val="ListBullet"/>
      </w:pPr>
      <w:r>
        <w:rPr>
          <w:b/>
        </w:rPr>
        <w:t>Design contract — read this:</w:t>
      </w:r>
      <w:r>
        <w:t xml:space="preserve"> the representative point is deliberately the centroid of the </w:t>
      </w:r>
      <w:r>
        <w:rPr>
          <w:b/>
        </w:rPr>
        <w:t>single largest part</w:t>
      </w:r>
      <w:r>
        <w:t xml:space="preserve">, *never* the multi-part geometric center. A multi-part centroid can land </w:t>
      </w:r>
      <w:r>
        <w:rPr>
          <w:b/>
        </w:rPr>
        <w:t>off-parcel</w:t>
      </w:r>
      <w:r>
        <w:t xml:space="preserve"> — in a highway median or a river between two discontiguous lots — and would then poison every downstream point-keyed read (grid, fiber, water, verdict). The largest-member centroid is guaranteed on-parcel.</w:t>
      </w:r>
    </w:p>
    <w:p>
      <w:pPr>
        <w:pStyle w:val="Heading3"/>
      </w:pPr>
      <w:r>
        <w:rPr>
          <w:color w:val="23527C"/>
          <w:sz w:val="25"/>
        </w:rPr>
        <w:t>1.3 contiguous + member_count — discontiguity flag</w:t>
      </w:r>
    </w:p>
    <w:p>
      <w:pPr>
        <w:pStyle w:val="ListBullet"/>
      </w:pPr>
      <w:r>
        <w:rPr>
          <w:b/>
        </w:rPr>
        <w:t>member_count</w:t>
      </w:r>
      <w:r>
        <w:t xml:space="preserve"> = number of polygon members (1 for a </w:t>
      </w:r>
      <w:r>
        <w:rPr>
          <w:rFonts w:ascii="Consolas" w:hAnsi="Consolas"/>
          <w:sz w:val="18"/>
        </w:rPr>
        <w:t>Polygon</w:t>
      </w:r>
      <w:r>
        <w:t xml:space="preserve">; N for a </w:t>
      </w:r>
      <w:r>
        <w:rPr>
          <w:rFonts w:ascii="Consolas" w:hAnsi="Consolas"/>
          <w:sz w:val="18"/>
        </w:rPr>
        <w:t>MultiPolygon</w:t>
      </w:r>
      <w:r>
        <w:t>).</w:t>
      </w:r>
    </w:p>
    <w:p>
      <w:pPr>
        <w:pStyle w:val="ListBullet"/>
      </w:pPr>
      <w:r>
        <w:rPr>
          <w:b/>
        </w:rPr>
        <w:t>contiguous</w:t>
      </w:r>
      <w:r>
        <w:t xml:space="preserve"> = </w:t>
      </w:r>
      <w:r>
        <w:rPr>
          <w:rFonts w:ascii="Consolas" w:hAnsi="Consolas"/>
          <w:sz w:val="18"/>
        </w:rPr>
        <w:t>member_count == 1</w:t>
      </w:r>
      <w:r>
        <w:t>.</w:t>
      </w:r>
    </w:p>
    <w:p>
      <w:pPr>
        <w:pStyle w:val="ListBullet"/>
      </w:pPr>
      <w:r>
        <w:rPr>
          <w:b/>
        </w:rPr>
        <w:t>How to read contiguous = false:</w:t>
      </w:r>
      <w:r>
        <w:t xml:space="preserve"> the parcel is </w:t>
      </w:r>
      <w:r>
        <w:rPr>
          <w:b/>
        </w:rPr>
        <w:t>discontinuous</w:t>
      </w:r>
      <w:r>
        <w:t xml:space="preserve">. Treat setbacks, fencing, and point-of-interconnection </w:t>
      </w:r>
      <w:r>
        <w:rPr>
          <w:b/>
        </w:rPr>
        <w:t>per member</w:t>
      </w:r>
      <w:r>
        <w:t xml:space="preserve">, not as one summed footprint — the </w:t>
      </w:r>
      <w:r>
        <w:rPr>
          <w:rFonts w:ascii="Consolas" w:hAnsi="Consolas"/>
          <w:sz w:val="18"/>
        </w:rPr>
        <w:t>total_acres</w:t>
      </w:r>
      <w:r>
        <w:t xml:space="preserve"> sum is real land but it is not one buildable pad.</w:t>
      </w:r>
    </w:p>
    <w:p>
      <w:pPr>
        <w:pStyle w:val="Heading3"/>
      </w:pPr>
      <w:r>
        <w:rPr>
          <w:color w:val="23527C"/>
          <w:sz w:val="25"/>
        </w:rPr>
        <w:t>1.4 Hosted parcel lookup — point → polygon</w:t>
      </w:r>
    </w:p>
    <w:p>
      <w:pPr>
        <w:pStyle w:val="ListBullet"/>
      </w:pPr>
      <w:r>
        <w:rPr>
          <w:b/>
        </w:rPr>
        <w:t>Surface:</w:t>
      </w:r>
      <w:r>
        <w:t xml:space="preserve"> </w:t>
      </w:r>
      <w:r>
        <w:rPr>
          <w:rFonts w:ascii="Consolas" w:hAnsi="Consolas"/>
          <w:sz w:val="18"/>
        </w:rPr>
        <w:t>GET /api/v1/parcels/lookup?lat=&amp;lng=[&amp;include_geometry=1]</w:t>
      </w:r>
      <w:r>
        <w:t xml:space="preserve">, and </w:t>
      </w:r>
      <w:r>
        <w:rPr>
          <w:rFonts w:ascii="Consolas" w:hAnsi="Consolas"/>
          <w:sz w:val="18"/>
        </w:rPr>
        <w:t>analyze-parcel</w:t>
      </w:r>
      <w:r>
        <w:t xml:space="preserve"> when called with </w:t>
      </w:r>
      <w:r>
        <w:rPr>
          <w:rFonts w:ascii="Consolas" w:hAnsi="Consolas"/>
          <w:sz w:val="18"/>
        </w:rPr>
        <w:t>lat</w:t>
      </w:r>
      <w:r>
        <w:t>/</w:t>
      </w:r>
      <w:r>
        <w:rPr>
          <w:rFonts w:ascii="Consolas" w:hAnsi="Consolas"/>
          <w:sz w:val="18"/>
        </w:rPr>
        <w:t>lng</w:t>
      </w:r>
      <w:r>
        <w:t xml:space="preserve"> and no </w:t>
      </w:r>
      <w:r>
        <w:rPr>
          <w:rFonts w:ascii="Consolas" w:hAnsi="Consolas"/>
          <w:sz w:val="18"/>
        </w:rPr>
        <w:t>geometry</w:t>
      </w:r>
      <w:r>
        <w:t>.</w:t>
      </w:r>
    </w:p>
    <w:p>
      <w:pPr>
        <w:pStyle w:val="ListBullet"/>
      </w:pPr>
      <w:r>
        <w:rPr>
          <w:b/>
        </w:rPr>
        <w:t>Method:</w:t>
      </w:r>
      <w:r>
        <w:t xml:space="preserve"> PostGIS </w:t>
      </w:r>
      <w:r>
        <w:rPr>
          <w:rFonts w:ascii="Consolas" w:hAnsi="Consolas"/>
          <w:sz w:val="18"/>
        </w:rPr>
        <w:t>ST_Contains</w:t>
      </w:r>
      <w:r>
        <w:t xml:space="preserve"> against the </w:t>
      </w:r>
      <w:r>
        <w:rPr>
          <w:rFonts w:ascii="Consolas" w:hAnsi="Consolas"/>
          <w:sz w:val="18"/>
        </w:rPr>
        <w:t>parcel_boundaries</w:t>
      </w:r>
      <w:r>
        <w:t xml:space="preserve"> table (hosted free county/state open-data layers). Returns </w:t>
      </w:r>
      <w:r>
        <w:rPr>
          <w:rFonts w:ascii="Consolas" w:hAnsi="Consolas"/>
          <w:sz w:val="18"/>
        </w:rPr>
        <w:t>parcel_id</w:t>
      </w:r>
      <w:r>
        <w:t xml:space="preserve">, </w:t>
      </w:r>
      <w:r>
        <w:rPr>
          <w:rFonts w:ascii="Consolas" w:hAnsi="Consolas"/>
          <w:sz w:val="18"/>
        </w:rPr>
        <w:t>county</w:t>
      </w:r>
      <w:r>
        <w:t xml:space="preserve">, </w:t>
      </w:r>
      <w:r>
        <w:rPr>
          <w:rFonts w:ascii="Consolas" w:hAnsi="Consolas"/>
          <w:sz w:val="18"/>
        </w:rPr>
        <w:t>state</w:t>
      </w:r>
      <w:r>
        <w:t>, source acreage (</w:t>
      </w:r>
      <w:r>
        <w:rPr>
          <w:rFonts w:ascii="Consolas" w:hAnsi="Consolas"/>
          <w:sz w:val="18"/>
        </w:rPr>
        <w:t>acres_gis</w:t>
      </w:r>
      <w:r>
        <w:t xml:space="preserve"> / </w:t>
      </w:r>
      <w:r>
        <w:rPr>
          <w:rFonts w:ascii="Consolas" w:hAnsi="Consolas"/>
          <w:sz w:val="18"/>
        </w:rPr>
        <w:t>acres_legal</w:t>
      </w:r>
      <w:r>
        <w:t xml:space="preserve">), county attributes, and optionally the polygon in the exact GeoJSON shape </w:t>
      </w:r>
      <w:r>
        <w:rPr>
          <w:rFonts w:ascii="Consolas" w:hAnsi="Consolas"/>
          <w:sz w:val="18"/>
        </w:rPr>
        <w:t>analyze-parcel</w:t>
      </w:r>
      <w:r>
        <w:t xml:space="preserve"> accepts — so the </w:t>
      </w:r>
      <w:r>
        <w:rPr>
          <w:rFonts w:ascii="Consolas" w:hAnsi="Consolas"/>
          <w:sz w:val="18"/>
        </w:rPr>
        <w:t>analyze-parcel → analyze_site</w:t>
      </w:r>
      <w:r>
        <w:t xml:space="preserve"> rail lights up on hosted data.</w:t>
      </w:r>
    </w:p>
    <w:p>
      <w:pPr>
        <w:pStyle w:val="ListBullet"/>
      </w:pPr>
      <w:r>
        <w:rPr>
          <w:b/>
        </w:rPr>
        <w:t>Coverage:</w:t>
      </w:r>
      <w:r>
        <w:t xml:space="preserve"> rolling out by data-center-market priority. Pilot market: </w:t>
      </w:r>
      <w:r>
        <w:rPr>
          <w:b/>
        </w:rPr>
        <w:t>Loudoun County VA (~132K polygons)</w:t>
      </w:r>
      <w:r>
        <w:t xml:space="preserve">. Live markets: </w:t>
      </w:r>
      <w:r>
        <w:rPr>
          <w:rFonts w:ascii="Consolas" w:hAnsi="Consolas"/>
          <w:sz w:val="18"/>
        </w:rPr>
        <w:t>GET /api/v1/parcels/coverage</w:t>
      </w:r>
      <w:r>
        <w:t>.</w:t>
      </w:r>
    </w:p>
    <w:p>
      <w:pPr>
        <w:pStyle w:val="ListBullet"/>
      </w:pPr>
      <w:r>
        <w:rPr>
          <w:b/>
        </w:rPr>
        <w:t>Basis:</w:t>
      </w:r>
      <w:r>
        <w:t xml:space="preserve"> </w:t>
      </w:r>
      <w:r>
        <w:rPr>
          <w:b/>
        </w:rPr>
        <w:t>MEASURED</w:t>
      </w:r>
      <w:r>
        <w:t xml:space="preserve"> (source polygon), with </w:t>
      </w:r>
      <w:r>
        <w:rPr>
          <w:rFonts w:ascii="Consolas" w:hAnsi="Consolas"/>
          <w:sz w:val="18"/>
        </w:rPr>
        <w:t>acres_per_source</w:t>
      </w:r>
      <w:r>
        <w:t xml:space="preserve"> carried as published by the county (the source's number, not a DC Hub recomputation).</w:t>
      </w:r>
    </w:p>
    <w:p>
      <w:pPr>
        <w:pStyle w:val="ListBullet"/>
      </w:pPr>
      <w:r>
        <w:rPr>
          <w:b/>
        </w:rPr>
        <w:t>Scope honesty (proven 2026-07-06, do not re-litigate):</w:t>
      </w:r>
      <w:r>
        <w:t xml:space="preserve"> ISO interconnection-queue rows carry </w:t>
      </w:r>
      <w:r>
        <w:rPr>
          <w:b/>
        </w:rPr>
        <w:t>no</w:t>
      </w:r>
      <w:r>
        <w:t xml:space="preserve"> parcel identity and are mostly county-centroid geocoded, so queue handoffs </w:t>
      </w:r>
      <w:r>
        <w:rPr>
          <w:b/>
        </w:rPr>
        <w:t>never</w:t>
      </w:r>
      <w:r>
        <w:t xml:space="preserve"> auto-carry a </w:t>
      </w:r>
      <w:r>
        <w:rPr>
          <w:rFonts w:ascii="Consolas" w:hAnsi="Consolas"/>
          <w:sz w:val="18"/>
        </w:rPr>
        <w:t>geometry</w:t>
      </w:r>
      <w:r>
        <w:t>. This layer serves callers that already *have* a location (a real site, an address geocode, a map click) — not queue rows.</w:t>
      </w:r>
    </w:p>
    <w:p>
      <w:pPr>
        <w:pStyle w:val="Heading3"/>
      </w:pPr>
      <w:r>
        <w:rPr>
          <w:color w:val="23527C"/>
          <w:sz w:val="25"/>
        </w:rPr>
        <w:t>1.5 data_basis — provenance on every geometry read</w:t>
      </w:r>
    </w:p>
    <w:p>
      <w:r>
        <w:rPr>
          <w:rFonts w:ascii="Consolas" w:hAnsi="Consolas"/>
          <w:sz w:val="18"/>
        </w:rPr>
        <w:t>analyze-parcel</w:t>
      </w:r>
      <w:r>
        <w:t xml:space="preserve"> returns a first-class provenance block so an agent knows how much to trust each number: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26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6210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3726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geometry_source</w:t>
            </w:r>
          </w:p>
        </w:tc>
        <w:tc>
          <w:tcPr>
            <w:tcW w:type="dxa" w:w="62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caller-supplied WGS84 GeoJSON</w:t>
            </w:r>
            <w:r>
              <w:t xml:space="preserve"> or </w:t>
            </w:r>
            <w:r>
              <w:rPr>
                <w:rFonts w:ascii="Consolas" w:hAnsi="Consolas"/>
                <w:sz w:val="18"/>
              </w:rPr>
              <w:t>DC Hub hosted county/state GIS parcel layer (point lookup)</w:t>
            </w:r>
          </w:p>
        </w:tc>
      </w:tr>
      <w:tr>
        <w:tc>
          <w:tcPr>
            <w:tcW w:type="dxa" w:w="3726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area_method</w:t>
            </w:r>
          </w:p>
        </w:tc>
        <w:tc>
          <w:tcPr>
            <w:tcW w:type="dxa" w:w="62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geodesic spherical-excess — measured, not modeled</w:t>
            </w:r>
          </w:p>
        </w:tc>
      </w:tr>
      <w:tr>
        <w:tc>
          <w:tcPr>
            <w:tcW w:type="dxa" w:w="3726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centroid_method</w:t>
            </w:r>
          </w:p>
        </w:tc>
        <w:tc>
          <w:tcPr>
            <w:tcW w:type="dxa" w:w="62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planar shoelace of the largest-area member</w:t>
            </w:r>
          </w:p>
        </w:tc>
      </w:tr>
      <w:tr>
        <w:tc>
          <w:tcPr>
            <w:tcW w:type="dxa" w:w="3726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positional_error_added_by_dchub_m</w:t>
            </w:r>
          </w:p>
        </w:tc>
        <w:tc>
          <w:tcPr>
            <w:tcW w:type="dxa" w:w="62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0</w:t>
            </w:r>
          </w:p>
        </w:tc>
      </w:tr>
    </w:tbl>
    <w:p/>
    <w:p>
      <w:r>
        <w:t xml:space="preserve">Contrast with the interconnection-queue handoff, where the anchor is a </w:t>
      </w:r>
      <w:r>
        <w:rPr>
          <w:rFonts w:ascii="Consolas" w:hAnsi="Consolas"/>
          <w:sz w:val="18"/>
        </w:rPr>
        <w:t>county_centroid</w:t>
      </w:r>
      <w:r>
        <w:t xml:space="preserve"> (approximate) vs </w:t>
      </w:r>
      <w:r>
        <w:rPr>
          <w:rFonts w:ascii="Consolas" w:hAnsi="Consolas"/>
          <w:sz w:val="18"/>
        </w:rPr>
        <w:t>poi_exact</w:t>
      </w:r>
      <w:r>
        <w:t xml:space="preserve"> — carried there as </w:t>
      </w:r>
      <w:r>
        <w:rPr>
          <w:rFonts w:ascii="Consolas" w:hAnsi="Consolas"/>
          <w:sz w:val="18"/>
        </w:rPr>
        <w:t>coordinate_precision</w:t>
      </w:r>
      <w:r>
        <w:t>. Geometry reads are the measured end of that spectrum.</w:t>
      </w:r>
    </w:p>
    <w:p>
      <w:pPr>
        <w:pBdr>
          <w:bottom w:val="single" w:sz="6" w:space="1" w:color="C8D4E0"/>
        </w:pBdr>
      </w:pPr>
    </w:p>
    <w:p>
      <w:pPr>
        <w:pStyle w:val="Heading2"/>
      </w:pPr>
      <w:r>
        <w:rPr>
          <w:color w:val="0F2B46"/>
          <w:sz w:val="30"/>
        </w:rPr>
        <w:t>Part 2 — Derived variables: NLR Intelligence Layer (MODELED)</w:t>
      </w:r>
    </w:p>
    <w:p>
      <w:r>
        <w:t xml:space="preserve">Source: </w:t>
      </w:r>
      <w:r>
        <w:rPr>
          <w:rFonts w:ascii="Consolas" w:hAnsi="Consolas"/>
          <w:color w:val="23527C"/>
          <w:sz w:val="18"/>
          <w:u w:val="single"/>
        </w:rPr>
        <w:t>nlr_intelligence.py</w:t>
      </w:r>
      <w:r>
        <w:t xml:space="preserve">. Four routes, each returning a headline score plus its component breakdown. These are </w:t>
      </w:r>
      <w:r>
        <w:rPr>
          <w:b/>
        </w:rPr>
        <w:t>MODELED proxy scores</w:t>
      </w:r>
      <w:r>
        <w:t xml:space="preserve"> — they combine published resource data (NREL solar GHI, NREL wind class, IRA/state incentive proxies, USGS/NREL geothermal zones) with a live substation query. They are screening indicators, not engineering-grade siting numbers; every route carries a caveat to that effect.</w:t>
      </w:r>
    </w:p>
    <w:p>
      <w:r>
        <w:rPr>
          <w:b/>
        </w:rPr>
        <w:t>Scoring convention:</w:t>
      </w:r>
      <w:r>
        <w:t xml:space="preserve"> all scores are </w:t>
      </w:r>
      <w:r>
        <w:rPr>
          <w:b/>
        </w:rPr>
        <w:t>0–100, higher = better</w:t>
      </w:r>
      <w:r>
        <w:t xml:space="preserve"> unless noted.</w:t>
      </w:r>
    </w:p>
    <w:p>
      <w:pPr>
        <w:pStyle w:val="Heading3"/>
      </w:pPr>
      <w:r>
        <w:rPr>
          <w:color w:val="23527C"/>
          <w:sz w:val="25"/>
        </w:rPr>
        <w:t>2.1 Shared inputs / lookup tables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10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Input</w:t>
            </w:r>
          </w:p>
        </w:tc>
        <w:tc>
          <w:tcPr>
            <w:tcW w:type="dxa" w:w="2710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4516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7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SOLAR_GHI[state]</w:t>
            </w:r>
          </w:p>
        </w:tc>
        <w:tc>
          <w:tcPr>
            <w:tcW w:type="dxa" w:w="2710"/>
          </w:tcPr>
          <w:p>
            <w:pPr>
              <w:spacing w:after="20"/>
            </w:pPr>
            <w:r/>
            <w:r>
              <w:t>NREL — kWh/m²/day</w:t>
            </w:r>
          </w:p>
        </w:tc>
        <w:tc>
          <w:tcPr>
            <w:tcW w:type="dxa" w:w="4516"/>
          </w:tcPr>
          <w:p>
            <w:pPr>
              <w:spacing w:after="20"/>
            </w:pPr>
            <w:r/>
            <w:r>
              <w:t>State-level global horizontal irradiance</w:t>
            </w:r>
          </w:p>
        </w:tc>
      </w:tr>
      <w:tr>
        <w:tc>
          <w:tcPr>
            <w:tcW w:type="dxa" w:w="27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WIND_CLASS[state]</w:t>
            </w:r>
          </w:p>
        </w:tc>
        <w:tc>
          <w:tcPr>
            <w:tcW w:type="dxa" w:w="2710"/>
          </w:tcPr>
          <w:p>
            <w:pPr>
              <w:spacing w:after="20"/>
            </w:pPr>
            <w:r/>
            <w:r>
              <w:t>NREL wind class 1–7</w:t>
            </w:r>
          </w:p>
        </w:tc>
        <w:tc>
          <w:tcPr>
            <w:tcW w:type="dxa" w:w="4516"/>
          </w:tcPr>
          <w:p>
            <w:pPr>
              <w:spacing w:after="20"/>
            </w:pPr>
            <w:r/>
            <w:r>
              <w:t>Higher = stronger resource</w:t>
            </w:r>
          </w:p>
        </w:tc>
      </w:tr>
      <w:tr>
        <w:tc>
          <w:tcPr>
            <w:tcW w:type="dxa" w:w="27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TAX_INCENTIVE_SCORES[state]</w:t>
            </w:r>
          </w:p>
        </w:tc>
        <w:tc>
          <w:tcPr>
            <w:tcW w:type="dxa" w:w="2710"/>
          </w:tcPr>
          <w:p>
            <w:pPr>
              <w:spacing w:after="20"/>
            </w:pPr>
            <w:r/>
            <w:r>
              <w:t>IRA / state incentive proxy (0–100)</w:t>
            </w:r>
          </w:p>
        </w:tc>
        <w:tc>
          <w:tcPr>
            <w:tcW w:type="dxa" w:w="4516"/>
          </w:tcPr>
          <w:p>
            <w:pPr>
              <w:spacing w:after="20"/>
            </w:pPr>
            <w:r/>
            <w:r>
              <w:t>Modeled proxy, not a dollar figure</w:t>
            </w:r>
          </w:p>
        </w:tc>
      </w:tr>
      <w:tr>
        <w:tc>
          <w:tcPr>
            <w:tcW w:type="dxa" w:w="27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GEOTHERMAL_ZONES</w:t>
            </w:r>
          </w:p>
        </w:tc>
        <w:tc>
          <w:tcPr>
            <w:tcW w:type="dxa" w:w="2710"/>
          </w:tcPr>
          <w:p>
            <w:pPr>
              <w:spacing w:after="20"/>
            </w:pPr>
            <w:r/>
            <w:r>
              <w:t>USGS EGS Atlas + NLR/NREL research zones</w:t>
            </w:r>
          </w:p>
        </w:tc>
        <w:tc>
          <w:tcPr>
            <w:tcW w:type="dxa" w:w="4516"/>
          </w:tcPr>
          <w:p>
            <w:pPr>
              <w:spacing w:after="20"/>
            </w:pPr>
            <w:r/>
            <w:r>
              <w:t>10 zones; each has a base potential 62–95</w:t>
            </w:r>
          </w:p>
        </w:tc>
      </w:tr>
      <w:tr>
        <w:tc>
          <w:tcPr>
            <w:tcW w:type="dxa" w:w="271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substations</w:t>
            </w:r>
            <w:r>
              <w:t xml:space="preserve"> table</w:t>
            </w:r>
          </w:p>
        </w:tc>
        <w:tc>
          <w:tcPr>
            <w:tcW w:type="dxa" w:w="2710"/>
          </w:tcPr>
          <w:p>
            <w:pPr>
              <w:spacing w:after="20"/>
            </w:pPr>
            <w:r/>
            <w:r>
              <w:t>HIFLD substation DB (hosted, Neon PG)</w:t>
            </w:r>
          </w:p>
        </w:tc>
        <w:tc>
          <w:tcPr>
            <w:tcW w:type="dxa" w:w="4516"/>
          </w:tcPr>
          <w:p>
            <w:pPr>
              <w:spacing w:after="20"/>
            </w:pPr>
            <w:r/>
            <w:r>
              <w:t>Live query by bounding box + haversine</w:t>
            </w:r>
          </w:p>
        </w:tc>
      </w:tr>
    </w:tbl>
    <w:p/>
    <w:p>
      <w:pPr>
        <w:pStyle w:val="Heading3"/>
      </w:pPr>
      <w:r>
        <w:rPr>
          <w:color w:val="23527C"/>
          <w:sz w:val="25"/>
        </w:rPr>
        <w:t>2.2 Component scores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021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336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1179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Range</w:t>
            </w:r>
          </w:p>
        </w:tc>
        <w:tc>
          <w:tcPr>
            <w:tcW w:type="dxa" w:w="336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Reads as</w:t>
            </w:r>
          </w:p>
        </w:tc>
      </w:tr>
      <w:tr>
        <w:tc>
          <w:tcPr>
            <w:tcW w:type="dxa" w:w="2021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solar_score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step on GHI: ≥6.0→95, ≥5.5→85, ≥5.0→75, ≥4.5→65, ≥4.0→52, else 40</w:t>
            </w:r>
          </w:p>
        </w:tc>
        <w:tc>
          <w:tcPr>
            <w:tcW w:type="dxa" w:w="1179"/>
          </w:tcPr>
          <w:p>
            <w:pPr>
              <w:spacing w:after="20"/>
            </w:pPr>
            <w:r/>
            <w:r>
              <w:t>40–95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Solar resource quality</w:t>
            </w:r>
          </w:p>
        </w:tc>
      </w:tr>
      <w:tr>
        <w:tc>
          <w:tcPr>
            <w:tcW w:type="dxa" w:w="2021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wind_score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min(95, max(10, wind_class × 13))</w:t>
            </w:r>
          </w:p>
        </w:tc>
        <w:tc>
          <w:tcPr>
            <w:tcW w:type="dxa" w:w="1179"/>
          </w:tcPr>
          <w:p>
            <w:pPr>
              <w:spacing w:after="20"/>
            </w:pPr>
            <w:r/>
            <w:r>
              <w:t>10–95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Wind resource quality</w:t>
            </w:r>
          </w:p>
        </w:tc>
      </w:tr>
      <w:tr>
        <w:tc>
          <w:tcPr>
            <w:tcW w:type="dxa" w:w="2021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geothermal effective_score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base_potential × decay</w:t>
            </w:r>
            <w:r>
              <w:t xml:space="preserve">, where </w:t>
            </w:r>
            <w:r>
              <w:rPr>
                <w:rFonts w:ascii="Consolas" w:hAnsi="Consolas"/>
                <w:sz w:val="18"/>
              </w:rPr>
              <w:t>decay = max(0, 1 − d/radius × 0.5)</w:t>
            </w:r>
            <w:r>
              <w:t xml:space="preserve"> and </w:t>
            </w:r>
            <w:r>
              <w:rPr>
                <w:rFonts w:ascii="Consolas" w:hAnsi="Consolas"/>
                <w:sz w:val="18"/>
              </w:rPr>
              <w:t>d</w:t>
            </w:r>
            <w:r>
              <w:t xml:space="preserve"> = haversine km to nearest zone</w:t>
            </w:r>
          </w:p>
        </w:tc>
        <w:tc>
          <w:tcPr>
            <w:tcW w:type="dxa" w:w="1179"/>
          </w:tcPr>
          <w:p>
            <w:pPr>
              <w:spacing w:after="20"/>
            </w:pPr>
            <w:r/>
            <w:r>
              <w:t>0–95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Proximity-weighted geothermal potential</w:t>
            </w:r>
          </w:p>
        </w:tc>
      </w:tr>
      <w:tr>
        <w:tc>
          <w:tcPr>
            <w:tcW w:type="dxa" w:w="2021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grid_access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tiered on substation count + max voltage (see 2.3)</w:t>
            </w:r>
          </w:p>
        </w:tc>
        <w:tc>
          <w:tcPr>
            <w:tcW w:type="dxa" w:w="1179"/>
          </w:tcPr>
          <w:p>
            <w:pPr>
              <w:spacing w:after="20"/>
            </w:pPr>
            <w:r/>
            <w:r>
              <w:t>15–100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Transmission access density</w:t>
            </w:r>
          </w:p>
        </w:tc>
      </w:tr>
      <w:tr>
        <w:tc>
          <w:tcPr>
            <w:tcW w:type="dxa" w:w="2021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renewable_potential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round(solar×0.40 + wind×0.35 + min(geo,30)×0.25)</w:t>
            </w:r>
          </w:p>
        </w:tc>
        <w:tc>
          <w:tcPr>
            <w:tcW w:type="dxa" w:w="1179"/>
          </w:tcPr>
          <w:p>
            <w:pPr>
              <w:spacing w:after="20"/>
            </w:pPr>
            <w:r/>
            <w:r>
              <w:t>0–95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Blended renewable resource (geo capped at 30 in the blend)</w:t>
            </w:r>
          </w:p>
        </w:tc>
      </w:tr>
      <w:tr>
        <w:tc>
          <w:tcPr>
            <w:tcW w:type="dxa" w:w="2021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storage_suitability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min(95, 45 + round(GHI × 8))</w:t>
            </w:r>
          </w:p>
        </w:tc>
        <w:tc>
          <w:tcPr>
            <w:tcW w:type="dxa" w:w="1179"/>
          </w:tcPr>
          <w:p>
            <w:pPr>
              <w:spacing w:after="20"/>
            </w:pPr>
            <w:r/>
            <w:r>
              <w:t>~45–95</w:t>
            </w:r>
          </w:p>
        </w:tc>
        <w:tc>
          <w:tcPr>
            <w:tcW w:type="dxa" w:w="3368"/>
          </w:tcPr>
          <w:p>
            <w:pPr>
              <w:spacing w:after="20"/>
            </w:pPr>
            <w:r/>
            <w:r>
              <w:t>Climate proxy for battery cycle suitability</w:t>
            </w:r>
          </w:p>
        </w:tc>
      </w:tr>
    </w:tbl>
    <w:p/>
    <w:p>
      <w:r>
        <w:rPr>
          <w:b/>
        </w:rPr>
        <w:t>Geothermal distance decay:</w:t>
      </w:r>
      <w:r>
        <w:t xml:space="preserve"> a zone's score falls off </w:t>
      </w:r>
      <w:r>
        <w:rPr>
          <w:b/>
        </w:rPr>
        <w:t>linearly to 50% of base at the search radius edge</w:t>
      </w:r>
      <w:r>
        <w:t xml:space="preserve"> (default </w:t>
      </w:r>
      <w:r>
        <w:rPr>
          <w:rFonts w:ascii="Consolas" w:hAnsi="Consolas"/>
          <w:sz w:val="18"/>
        </w:rPr>
        <w:t>radius_km = 500</w:t>
      </w:r>
      <w:r>
        <w:t xml:space="preserve">). A site *on* a zone keeps full base potential; a site at the radius edge keeps half. Zones beyond the radius are dropped. </w:t>
      </w:r>
      <w:r>
        <w:rPr>
          <w:rFonts w:ascii="Consolas" w:hAnsi="Consolas"/>
          <w:sz w:val="18"/>
        </w:rPr>
        <w:t>nearest_zone</w:t>
      </w:r>
      <w:r>
        <w:t xml:space="preserve"> / </w:t>
      </w:r>
      <w:r>
        <w:rPr>
          <w:rFonts w:ascii="Consolas" w:hAnsi="Consolas"/>
          <w:sz w:val="18"/>
        </w:rPr>
        <w:t>nearest_zone_km</w:t>
      </w:r>
      <w:r>
        <w:t xml:space="preserve"> report the closest one.</w:t>
      </w:r>
    </w:p>
    <w:p>
      <w:pPr>
        <w:pStyle w:val="Heading3"/>
      </w:pPr>
      <w:r>
        <w:rPr>
          <w:color w:val="23527C"/>
          <w:sz w:val="25"/>
        </w:rPr>
        <w:t>2.3 grid_access tiers (from live substation query)</w:t>
      </w:r>
    </w:p>
    <w:p>
      <w:r>
        <w:t xml:space="preserve">Substations are pulled from the </w:t>
      </w:r>
      <w:r>
        <w:rPr>
          <w:rFonts w:ascii="Consolas" w:hAnsi="Consolas"/>
          <w:sz w:val="18"/>
        </w:rPr>
        <w:t>substations</w:t>
      </w:r>
      <w:r>
        <w:t xml:space="preserve"> table within a lat/lng bounding box, then filtered by true haversine distance. </w:t>
      </w:r>
      <w:r>
        <w:rPr>
          <w:rFonts w:ascii="Consolas" w:hAnsi="Consolas"/>
          <w:sz w:val="18"/>
        </w:rPr>
        <w:t>sub_count</w:t>
      </w:r>
      <w:r>
        <w:t xml:space="preserve"> = number within radius; </w:t>
      </w:r>
      <w:r>
        <w:rPr>
          <w:rFonts w:ascii="Consolas" w:hAnsi="Consolas"/>
          <w:sz w:val="18"/>
        </w:rPr>
        <w:t>max_kv</w:t>
      </w:r>
      <w:r>
        <w:t xml:space="preserve"> = highest voltage among them.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4968"/>
            <w:shd w:val="clear" w:fill="E8EEF5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18"/>
              </w:rPr>
              <w:t>grid_access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sub_count == 0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15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sub_count &lt; 3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35 + min(max_kv/10, 25)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sub_count &lt; 10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55 + min(max_kv/10, 20)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sub_count ≥ 10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75 + min(max_kv/20, 20)</w:t>
            </w:r>
          </w:p>
        </w:tc>
      </w:tr>
    </w:tbl>
    <w:p/>
    <w:p>
      <w:r>
        <w:t>Capped at 100.</w:t>
      </w:r>
    </w:p>
    <w:p>
      <w:pPr>
        <w:pStyle w:val="Heading3"/>
      </w:pPr>
      <w:r>
        <w:rPr>
          <w:color w:val="23527C"/>
          <w:sz w:val="25"/>
        </w:rPr>
        <w:t>2.4 Headline composite scores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63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1863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3105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3105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Weighting rationale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geothermal_score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/api/v1/geothermal-potential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effective_score</w:t>
            </w:r>
            <w:r>
              <w:t xml:space="preserve"> of the nearest zone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t>Proximity-weighted resource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colocation_score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/api/v1/colocation-score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round(renewable_potential×0.40 + grid_access×0.25 + tax_incentives×0.20 + geothermal_bonus×0.15)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t>Renewables-led co-location suitability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microgrid_score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/api/v1/microgrid-viability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round(solar×0.30 + wind×0.25 + geothermal×0.20 + storage_suitability×0.25)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t>Balanced generation + storage mix</w:t>
            </w:r>
          </w:p>
        </w:tc>
      </w:tr>
      <w:tr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total_estimated_available_mw</w:t>
            </w:r>
          </w:p>
        </w:tc>
        <w:tc>
          <w:tcPr>
            <w:tcW w:type="dxa" w:w="1863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/api/v1/grid-headroom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t>Σ per-substation headroom (see 2.6)</w:t>
            </w:r>
          </w:p>
        </w:tc>
        <w:tc>
          <w:tcPr>
            <w:tcW w:type="dxa" w:w="3105"/>
          </w:tcPr>
          <w:p>
            <w:pPr>
              <w:spacing w:after="20"/>
            </w:pPr>
            <w:r/>
            <w:r>
              <w:t>Point-estimate transmission headroom</w:t>
            </w:r>
          </w:p>
        </w:tc>
      </w:tr>
    </w:tbl>
    <w:p/>
    <w:p>
      <w:pPr>
        <w:pStyle w:val="Heading3"/>
      </w:pPr>
      <w:r>
        <w:rPr>
          <w:color w:val="23527C"/>
          <w:sz w:val="25"/>
        </w:rPr>
        <w:t>2.5 Derived economics (colocation route)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320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Formula</w:t>
            </w:r>
          </w:p>
        </w:tc>
        <w:tc>
          <w:tcPr>
            <w:tcW w:type="dxa" w:w="1512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Units</w:t>
            </w:r>
          </w:p>
        </w:tc>
        <w:tc>
          <w:tcPr>
            <w:tcW w:type="dxa" w:w="1512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estimated_ppa_discount_pct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round((renewable_potential − 50) × 0.8, 1)</w:t>
            </w:r>
            <w:r>
              <w:t xml:space="preserve"> if </w:t>
            </w:r>
            <w:r>
              <w:rPr>
                <w:rFonts w:ascii="Consolas" w:hAnsi="Consolas"/>
                <w:sz w:val="18"/>
              </w:rPr>
              <w:t>renewable_potential &gt; 50</w:t>
            </w:r>
            <w:r>
              <w:t xml:space="preserve"> else 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t>%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t>MODELED indicator, not a quote</w:t>
            </w:r>
          </w:p>
        </w:tc>
      </w:tr>
      <w:tr>
        <w:tc>
          <w:tcPr>
            <w:tcW w:type="dxa" w:w="2592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carbon_reduction_potential_pct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round((solar_score + wind_score) / 2 × 0.9, 1)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t>%</w:t>
            </w:r>
          </w:p>
        </w:tc>
        <w:tc>
          <w:tcPr>
            <w:tcW w:type="dxa" w:w="1512"/>
          </w:tcPr>
          <w:p>
            <w:pPr>
              <w:spacing w:after="20"/>
            </w:pPr>
            <w:r/>
            <w:r>
              <w:t>MODELED indicator</w:t>
            </w:r>
          </w:p>
        </w:tc>
      </w:tr>
    </w:tbl>
    <w:p/>
    <w:p>
      <w:pPr>
        <w:ind w:left="288"/>
        <w:pBdr>
          <w:left w:val="single" w:sz="18" w:space="8" w:color="C8A415"/>
        </w:pBdr>
      </w:pPr>
      <w:r>
        <w:rPr>
          <w:b/>
        </w:rPr>
        <w:t>Read as directional.</w:t>
      </w:r>
      <w:r>
        <w:t xml:space="preserve"> These are screening indicators derived from resource scores, not PPA quotes or verified emissions figures. Actual PPA pricing and carbon accounting require utility/offtaker confirmation.</w:t>
      </w:r>
    </w:p>
    <w:p>
      <w:pPr>
        <w:pStyle w:val="Heading3"/>
      </w:pPr>
      <w:r>
        <w:rPr>
          <w:color w:val="23527C"/>
          <w:sz w:val="25"/>
        </w:rPr>
        <w:t>2.6 Grid-headroom estimate (point estimator)</w:t>
      </w:r>
    </w:p>
    <w:p>
      <w:r>
        <w:rPr>
          <w:rFonts w:ascii="Consolas" w:hAnsi="Consolas"/>
          <w:sz w:val="18"/>
        </w:rPr>
        <w:t>total_estimated_available_mw</w:t>
      </w:r>
      <w:r>
        <w:t xml:space="preserve"> sums a per-substation headroom drawn from voltage class, for up to the 10 nearest substations: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Voltage class</w:t>
            </w:r>
          </w:p>
        </w:tc>
        <w:tc>
          <w:tcPr>
            <w:tcW w:type="dxa" w:w="496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Est. available MW/substation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t>≥ 500 kV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800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t>≥ 345 kV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500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t>≥ 230 kV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300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t>≥ 138 kV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150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t>≥ 115 kV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100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t>≥ 69 kV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50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t>&lt; 69 kV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t>20</w:t>
            </w:r>
          </w:p>
        </w:tc>
      </w:tr>
    </w:tbl>
    <w:p/>
    <w:p>
      <w:r>
        <w:t>Rating bands: Abundant (≥2 GW) · Strong (1–2 GW) · Adequate (500 MW–1 GW) · Moderate (200–500 MW) · Constrained (&lt;200 MW).</w:t>
      </w:r>
    </w:p>
    <w:p>
      <w:pPr>
        <w:ind w:left="288"/>
        <w:pBdr>
          <w:left w:val="single" w:sz="18" w:space="8" w:color="C8A415"/>
        </w:pBdr>
      </w:pPr>
      <w:r>
        <w:rPr>
          <w:b/>
        </w:rPr>
        <w:t>★ Honesty fix (2026-06-26), important for reVeal:</w:t>
      </w:r>
      <w:r>
        <w:t xml:space="preserve"> </w:t>
      </w:r>
      <w:r>
        <w:rPr>
          <w:rFonts w:ascii="Consolas" w:hAnsi="Consolas"/>
          <w:sz w:val="18"/>
        </w:rPr>
        <w:t>/api/v1/grid-headroom</w:t>
      </w:r>
      <w:r>
        <w:t xml:space="preserve"> is a </w:t>
      </w:r>
      <w:r>
        <w:rPr>
          <w:b/>
        </w:rPr>
        <w:t>point</w:t>
      </w:r>
      <w:r>
        <w:t xml:space="preserve"> estimator — it needs a </w:t>
      </w:r>
      <w:r>
        <w:rPr>
          <w:rFonts w:ascii="Consolas" w:hAnsi="Consolas"/>
          <w:sz w:val="18"/>
        </w:rPr>
        <w:t>lat</w:t>
      </w:r>
      <w:r>
        <w:t>/</w:t>
      </w:r>
      <w:r>
        <w:rPr>
          <w:rFonts w:ascii="Consolas" w:hAnsi="Consolas"/>
          <w:sz w:val="18"/>
        </w:rPr>
        <w:t>lon</w:t>
      </w:r>
      <w:r>
        <w:t xml:space="preserve">. It does </w:t>
      </w:r>
      <w:r>
        <w:rPr>
          <w:b/>
        </w:rPr>
        <w:t>not</w:t>
      </w:r>
      <w:r>
        <w:t xml:space="preserve"> resolve an ISO/region to real geography. When called for an ISO/region with no explicit point, it returns </w:t>
      </w:r>
      <w:r>
        <w:rPr>
          <w:rFonts w:ascii="Consolas" w:hAnsi="Consolas"/>
          <w:sz w:val="18"/>
        </w:rPr>
        <w:t>available: false, reason: "not_region_specific"</w:t>
      </w:r>
      <w:r>
        <w:t xml:space="preserve"> and points to </w:t>
      </w:r>
      <w:r>
        <w:rPr>
          <w:rFonts w:ascii="Consolas" w:hAnsi="Consolas"/>
          <w:sz w:val="18"/>
        </w:rPr>
        <w:t>/api/v1/grid/intelligence/&lt;ISO&gt;</w:t>
      </w:r>
      <w:r>
        <w:t xml:space="preserve"> — it will </w:t>
      </w:r>
      <w:r>
        <w:rPr>
          <w:b/>
        </w:rPr>
        <w:t>not</w:t>
      </w:r>
      <w:r>
        <w:t xml:space="preserve"> substitute a default point and mislabel one location's headroom as an ISO's. Use the point estimator for a specific site; use grid-intelligence for ISO-level demand/fuel-mix/queue data.</w:t>
      </w:r>
    </w:p>
    <w:p>
      <w:pPr>
        <w:pStyle w:val="Heading3"/>
      </w:pPr>
      <w:r>
        <w:rPr>
          <w:color w:val="23527C"/>
          <w:sz w:val="25"/>
        </w:rPr>
        <w:t>2.7 ARIES / research-alignment flags (microgrid route)</w:t>
      </w:r>
    </w:p>
    <w:p>
      <w:r>
        <w:t>Boolean flags, not scores — surfaced for NLR ARIES program alignment: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968"/>
            <w:shd w:val="clear" w:fill="E8EEF5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islanding_candidate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microgrid_score ≥ 65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high_renewable_fraction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(solar + wind)/2 ≥ 65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geothermal_baseload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geothermal ≥ 50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storage_integration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storage_suitability ≥ 60</w:t>
            </w:r>
          </w:p>
        </w:tc>
      </w:tr>
      <w:tr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dc_powerplant_concept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Consolas" w:hAnsi="Consolas"/>
                <w:sz w:val="18"/>
              </w:rPr>
              <w:t>geothermal ≥ 80 AND microgrid_score ≥ 75</w:t>
            </w:r>
          </w:p>
        </w:tc>
      </w:tr>
    </w:tbl>
    <w:p/>
    <w:p>
      <w:r>
        <w:t xml:space="preserve">The </w:t>
      </w:r>
      <w:r>
        <w:rPr>
          <w:rFonts w:ascii="Consolas" w:hAnsi="Consolas"/>
          <w:sz w:val="18"/>
        </w:rPr>
        <w:t>recommended_configuration</w:t>
      </w:r>
      <w:r>
        <w:t xml:space="preserve"> array (solar / wind / optional geothermal baseload / battery MWh) is sized off the caller's </w:t>
      </w:r>
      <w:r>
        <w:rPr>
          <w:rFonts w:ascii="Consolas" w:hAnsi="Consolas"/>
          <w:sz w:val="18"/>
        </w:rPr>
        <w:t>capacity_mw</w:t>
      </w:r>
      <w:r>
        <w:t xml:space="preserve"> using fixed DC-load ratios (solar 1.5×, wind 0.8×, geothermal 0.4× when the zone qualifies, storage 2× MWh).</w:t>
      </w:r>
    </w:p>
    <w:p>
      <w:pPr>
        <w:pBdr>
          <w:bottom w:val="single" w:sz="6" w:space="1" w:color="C8D4E0"/>
        </w:pBdr>
      </w:pPr>
    </w:p>
    <w:p>
      <w:pPr>
        <w:pStyle w:val="Heading2"/>
      </w:pPr>
      <w:r>
        <w:rPr>
          <w:color w:val="0F2B46"/>
          <w:sz w:val="30"/>
        </w:rPr>
        <w:t>Part 3 — Access tiering (how these variables gate)</w:t>
      </w:r>
    </w:p>
    <w:p>
      <w:r>
        <w:t xml:space="preserve">The derived-intelligence routes are tier-gated (r43-H, 2026-05-28). NLR's issued key, the reVeal integration, DC Hub internal callers, and real dchub.cloud browsers receive the </w:t>
      </w:r>
      <w:r>
        <w:rPr>
          <w:b/>
        </w:rPr>
        <w:t>full</w:t>
      </w:r>
      <w:r>
        <w:t xml:space="preserve"> breakdown. Anonymous external </w:t>
      </w:r>
      <w:r>
        <w:rPr>
          <w:rFonts w:ascii="Consolas" w:hAnsi="Consolas"/>
          <w:sz w:val="18"/>
        </w:rPr>
        <w:t>curl</w:t>
      </w:r>
      <w:r>
        <w:t xml:space="preserve"> traffic receives a </w:t>
      </w:r>
      <w:r>
        <w:rPr>
          <w:b/>
        </w:rPr>
        <w:t>headline teaser</w:t>
      </w:r>
      <w:r>
        <w:t xml:space="preserve"> (location + top-line score + upgrade hint) with the granular component breakdown and geocoded substation detail withheld. The gate </w:t>
      </w:r>
      <w:r>
        <w:rPr>
          <w:b/>
        </w:rPr>
        <w:t>fails open</w:t>
      </w:r>
      <w:r>
        <w:t xml:space="preserve"> on infrastructure error so a gate hiccup never blanks a legitimate NLR call.</w:t>
      </w:r>
    </w:p>
    <w:p>
      <w:pPr>
        <w:pBdr>
          <w:bottom w:val="single" w:sz="6" w:space="1" w:color="C8D4E0"/>
        </w:pBdr>
      </w:pPr>
    </w:p>
    <w:p>
      <w:pPr>
        <w:pStyle w:val="Heading2"/>
      </w:pPr>
      <w:r>
        <w:rPr>
          <w:color w:val="0F2B46"/>
          <w:sz w:val="30"/>
        </w:rPr>
        <w:t>Provenance &amp; citation</w:t>
      </w:r>
    </w:p>
    <w:p>
      <w:pPr>
        <w:pStyle w:val="ListBullet"/>
      </w:pPr>
      <w:r>
        <w:t xml:space="preserve">Geometry: </w:t>
      </w:r>
      <w:r>
        <w:rPr>
          <w:b/>
        </w:rPr>
        <w:t>measured</w:t>
      </w:r>
      <w:r>
        <w:t xml:space="preserve"> — geodesic spherical-excess area, planar-shoelace centroid, on caller- or DC-Hub-hosted WGS84 GeoJSON. Zero DC Hub positional error.</w:t>
      </w:r>
    </w:p>
    <w:p>
      <w:pPr>
        <w:pStyle w:val="ListBullet"/>
      </w:pPr>
      <w:r>
        <w:t xml:space="preserve">Scores: </w:t>
      </w:r>
      <w:r>
        <w:rPr>
          <w:b/>
        </w:rPr>
        <w:t>modeled</w:t>
      </w:r>
      <w:r>
        <w:t xml:space="preserve"> — NREL (solar GHI, wind class), USGS EGS Atlas + NLR/NREL research zones (geothermal), IRA/state incentive proxies, HIFLD substation DB (grid).</w:t>
      </w:r>
    </w:p>
    <w:p>
      <w:pPr>
        <w:pStyle w:val="ListBullet"/>
      </w:pPr>
      <w:r>
        <w:t xml:space="preserve">Cite as: </w:t>
      </w:r>
      <w:r>
        <w:rPr>
          <w:b/>
        </w:rPr>
        <w:t>"DC Hub (dchub.cloud)"</w:t>
      </w:r>
      <w:r>
        <w:t xml:space="preserve">. Parcel reads carry </w:t>
      </w:r>
      <w:r>
        <w:rPr>
          <w:rFonts w:ascii="Consolas" w:hAnsi="Consolas"/>
          <w:sz w:val="18"/>
        </w:rPr>
        <w:t>CC-BY-4.0</w:t>
      </w:r>
      <w:r>
        <w:t>.</w:t>
      </w:r>
    </w:p>
    <w:p>
      <w:r>
        <w:t>*Prepared for the DC Hub × NLR partnership. Formulas mirror production code as of 2026-07-15; see linked source files for the authoritative implementation.*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