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in5z0qqapaf" w:id="0"/>
      <w:bookmarkEnd w:id="0"/>
      <w:r w:rsidDel="00000000" w:rsidR="00000000" w:rsidRPr="00000000">
        <w:rPr>
          <w:rtl w:val="0"/>
        </w:rPr>
        <w:t xml:space="preserve">CBW2024 Contextual Data Curation Scenarios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mock scenarios describe different types of genomics contextual data for SARS-CoV-2 surveillance. The scenarios in this exercise are fictional and do not represent real data or programs at any public health organization in Canada, and are intended for training purposes only.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xknpyx65araw" w:id="1"/>
      <w:bookmarkEnd w:id="1"/>
      <w:r w:rsidDel="00000000" w:rsidR="00000000" w:rsidRPr="00000000">
        <w:rPr>
          <w:rtl w:val="0"/>
        </w:rPr>
        <w:t xml:space="preserve">Scenario 1: Clinical SARS-CoV-2 Data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BCCDC Public Health Laboratory obtained a nasopharyngeal swab for diagnostic testing (sample ID Bc-12345-ab) on March 1 2023 from a symptomatic, 44 year old female that had been hospitalized in the ICU. The individual had been exhibiting a cough, fever, muscle weakness, as well as other symptoms of Acute Respiratory Distress Syndrome.</w:t>
      </w:r>
    </w:p>
    <w:p w:rsidR="00000000" w:rsidDel="00000000" w:rsidP="00000000" w:rsidRDefault="00000000" w:rsidRPr="00000000" w14:paraId="00000007">
      <w:pPr>
        <w:rPr/>
      </w:pPr>
      <w:r w:rsidDel="00000000" w:rsidR="00000000" w:rsidRPr="00000000">
        <w:rPr>
          <w:rtl w:val="0"/>
        </w:rPr>
        <w:t xml:space="preserve">The individual recently </w:t>
      </w:r>
      <w:r w:rsidDel="00000000" w:rsidR="00000000" w:rsidRPr="00000000">
        <w:rPr>
          <w:rtl w:val="0"/>
        </w:rPr>
        <w:t xml:space="preserve">travelled</w:t>
      </w:r>
      <w:r w:rsidDel="00000000" w:rsidR="00000000" w:rsidRPr="00000000">
        <w:rPr>
          <w:rtl w:val="0"/>
        </w:rPr>
        <w:t xml:space="preserve"> to the United States on holiday and returned on Feb 19 2023. The sample was flagged for sequencing as part of the lab’s International travel surveillance program. The sample was sequenced on March 7 2023 using an Illumina MiSeq instrument. The raw data was processed using ncov-tools (</w:t>
      </w:r>
      <w:hyperlink r:id="rId6">
        <w:r w:rsidDel="00000000" w:rsidR="00000000" w:rsidRPr="00000000">
          <w:rPr>
            <w:color w:val="1155cc"/>
            <w:u w:val="single"/>
            <w:rtl w:val="0"/>
          </w:rPr>
          <w:t xml:space="preserve">https://github.com/jts/ncov2019-artic-nf/blob/master/README.md</w:t>
        </w:r>
      </w:hyperlink>
      <w:r w:rsidDel="00000000" w:rsidR="00000000" w:rsidRPr="00000000">
        <w:rPr>
          <w:rtl w:val="0"/>
        </w:rPr>
        <w:t xml:space="preserve">) and dehosted using BWA (version 0.7.17). The consensus sequence was generated using iVar 2.3.1. The sequence was uploaded to GISAID and assigned the accession number EPI_ISL_436489. Drs Tejinder Singh, Fei Hu and Joe Blogs helped to generate the sequence.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Note: GISAID “isolate” identifiers are generated by data providers in the following format</w:t>
      </w:r>
    </w:p>
    <w:p w:rsidR="00000000" w:rsidDel="00000000" w:rsidP="00000000" w:rsidRDefault="00000000" w:rsidRPr="00000000" w14:paraId="0000000A">
      <w:pPr>
        <w:rPr/>
      </w:pPr>
      <w:r w:rsidDel="00000000" w:rsidR="00000000" w:rsidRPr="00000000">
        <w:rPr>
          <w:rtl w:val="0"/>
        </w:rPr>
        <w:t xml:space="preserve">hCoV-19/COUNTRY/ISO regional code-Identifier/year</w:t>
      </w:r>
    </w:p>
    <w:p w:rsidR="00000000" w:rsidDel="00000000" w:rsidP="00000000" w:rsidRDefault="00000000" w:rsidRPr="00000000" w14:paraId="0000000B">
      <w:pPr>
        <w:rPr/>
      </w:pPr>
      <w:r w:rsidDel="00000000" w:rsidR="00000000" w:rsidRPr="00000000">
        <w:rPr>
          <w:rtl w:val="0"/>
        </w:rPr>
        <w:t xml:space="preserve">e.g. hCoV-19/CANADA/BC-provlab1234/2020</w:t>
      </w:r>
    </w:p>
    <w:p w:rsidR="00000000" w:rsidDel="00000000" w:rsidP="00000000" w:rsidRDefault="00000000" w:rsidRPr="00000000" w14:paraId="0000000C">
      <w:pPr>
        <w:rPr/>
      </w:pPr>
      <w:r w:rsidDel="00000000" w:rsidR="00000000" w:rsidRPr="00000000">
        <w:rPr>
          <w:rtl w:val="0"/>
        </w:rPr>
        <w:t xml:space="preserve">“hCoV-19” is always the same</w:t>
      </w:r>
    </w:p>
    <w:p w:rsidR="00000000" w:rsidDel="00000000" w:rsidP="00000000" w:rsidRDefault="00000000" w:rsidRPr="00000000" w14:paraId="0000000D">
      <w:pPr>
        <w:rPr/>
      </w:pPr>
      <w:r w:rsidDel="00000000" w:rsidR="00000000" w:rsidRPr="00000000">
        <w:rPr>
          <w:rtl w:val="0"/>
        </w:rPr>
        <w:t xml:space="preserve">The country is capitalized e.g. CANADA</w:t>
      </w:r>
    </w:p>
    <w:p w:rsidR="00000000" w:rsidDel="00000000" w:rsidP="00000000" w:rsidRDefault="00000000" w:rsidRPr="00000000" w14:paraId="0000000E">
      <w:pPr>
        <w:rPr/>
      </w:pPr>
      <w:r w:rsidDel="00000000" w:rsidR="00000000" w:rsidRPr="00000000">
        <w:rPr>
          <w:rtl w:val="0"/>
        </w:rPr>
        <w:t xml:space="preserve">ISO regional codes are 2 letter codes for the province or state e.g. BC, ON, QC, SK, AB</w:t>
      </w:r>
    </w:p>
    <w:p w:rsidR="00000000" w:rsidDel="00000000" w:rsidP="00000000" w:rsidRDefault="00000000" w:rsidRPr="00000000" w14:paraId="0000000F">
      <w:pPr>
        <w:rPr/>
      </w:pPr>
      <w:r w:rsidDel="00000000" w:rsidR="00000000" w:rsidRPr="00000000">
        <w:rPr>
          <w:rtl w:val="0"/>
        </w:rPr>
        <w:t xml:space="preserve">The identifier corresponds to the sample ID.</w:t>
      </w:r>
    </w:p>
    <w:p w:rsidR="00000000" w:rsidDel="00000000" w:rsidP="00000000" w:rsidRDefault="00000000" w:rsidRPr="00000000" w14:paraId="00000010">
      <w:pPr>
        <w:rPr/>
      </w:pPr>
      <w:r w:rsidDel="00000000" w:rsidR="00000000" w:rsidRPr="00000000">
        <w:rPr>
          <w:rtl w:val="0"/>
        </w:rPr>
        <w:t xml:space="preserve">The “year” corresponds to the year of sample collection.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zbchykglxkk" w:id="2"/>
      <w:bookmarkEnd w:id="2"/>
      <w:r w:rsidDel="00000000" w:rsidR="00000000" w:rsidRPr="00000000">
        <w:rPr>
          <w:rtl w:val="0"/>
        </w:rPr>
        <w:t xml:space="preserve">Scenario 2: Wastewater SARS-CoV-2 Data </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Untreated, fast moving, wastewater is continuously collected in a municipal sewer system starting on Nov 1 2023 for 72hrs. The sewer system, which collects rainwater as well as household and institutional waste, is part of a routine surveillance program for tracking community-level SARS-CoV-2 variants (sewer site ID WWSC2-ABC-b) in order to establish baseline norms. The sewer is located near a hospital and the hospital’s effluent is piped into the sewer system. Five Moore swabs from the site of collection are pooled (sample ID BW-WW-12345). It rained the day before sample collection (5cm of rain). The wastewater catchment area serves approx 800 000 people in a suburban area (Mississauga, Ontario, Canada). The ambient air temperature at the time of collection was 15 degrees Celsius. The water was 8 degrees Celsius at the time of collection, and 3 degrees Celsius when it was received by the sequencing lab. The instantaneous flow rate is 3 cubic meter per second (m^3/s), with 8% total suspended solids. The sample was collected by the Region of Peel regional authority, and sequenced by the Public Health Ontario provincial health laboratory (contact: Johnny Bloggs; jbloggs@provlab.ca). A watershed shapefile delineating the geographical coordinates covered by the sewer system is available. The presence of SARS-CoV-2 was first detected using qPCR (N1 gene, Ct value of 22). The amplicon-based sample was sequenced on an Illumina MiSeq on Jan 18 2024 using the ARTIC V5 400bp primer scheme (artic-v5.3.2_400), and consensus sequences were generated using ViralRecon software v1.23 and lineage assignments were performed using pUShER (v1.2.6). The rich contextual data record for the sequence is provided below. This record is for the public health laboratory’s use only, and many details were removed when sharing data according to organization-specific data sharing policies. The associated contextual data record is provided below. This record highlights how rich contextual data can be captured using the specification - including catchment details such as geographical coordinates and population ranges, activity upstream of sampling that may affect results, how to record longitudinal sampling events, capture of environmental conditions and measurements, associated laboratory testing results (Ct values), and lineage designations.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ts/ncov2019-artic-nf/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