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40"/>
        <w:jc w:val="center"/>
      </w:pPr>
      <w:r>
        <w:rPr>
          <w:b/>
          <w:color w:val="1F2A44"/>
          <w:sz w:val="56"/>
        </w:rPr>
        <w:t>Harmonic Inc.</w:t>
      </w:r>
    </w:p>
    <w:p>
      <w:pPr>
        <w:spacing w:after="360"/>
        <w:jc w:val="center"/>
      </w:pPr>
      <w:r>
        <w:rPr>
          <w:b/>
          <w:color w:val="1A5C97"/>
          <w:sz w:val="30"/>
        </w:rPr>
        <w:t>NASDAQ: HLIT</w:t>
      </w:r>
    </w:p>
    <w:p>
      <w:pPr>
        <w:spacing w:after="800"/>
        <w:jc w:val="center"/>
      </w:pPr>
      <w:r>
        <w:rPr>
          <w:i/>
          <w:color w:val="555555"/>
          <w:sz w:val="28"/>
        </w:rPr>
        <w:t>An Ultra Deep Dive: Bull Case, Bear Case, Near-Term Catalysts,</w:t>
        <w:br/>
        <w:t>the Pure-Play Broadband Pivot, and the AI Secular Tailwind</w:t>
      </w:r>
    </w:p>
    <w:p>
      <w:pPr>
        <w:spacing w:before="200" w:after="80"/>
      </w:pPr>
      <w:r>
        <w:rPr>
          <w:b/>
          <w:color w:val="1A5C97"/>
          <w:sz w:val="25"/>
        </w:rPr>
        <w:t>Snapshot — as of late May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5904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Share price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~$16.90–$17.11 (May 26–28, 2026)</w:t>
            </w:r>
          </w:p>
        </w:tc>
      </w:tr>
      <w:tr>
        <w:tc>
          <w:tcPr>
            <w:tcW w:type="dxa" w:w="3456"/>
            <w:shd w:val="clear" w:color="auto" w:fill="F0F3F7"/>
          </w:tcPr>
          <w:p>
            <w:r/>
            <w:r>
              <w:rPr>
                <w:b w:val="0"/>
                <w:sz w:val="19"/>
              </w:rPr>
              <w:t>Market capitalization</w:t>
            </w:r>
          </w:p>
        </w:tc>
        <w:tc>
          <w:tcPr>
            <w:tcW w:type="dxa" w:w="5904"/>
            <w:shd w:val="clear" w:color="auto" w:fill="F0F3F7"/>
          </w:tcPr>
          <w:p>
            <w:r/>
            <w:r>
              <w:rPr>
                <w:b w:val="0"/>
                <w:sz w:val="19"/>
              </w:rPr>
              <w:t>~$1.85 billion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52-week range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~$7.80 – $17.68 (roughly doubled off lows)</w:t>
            </w:r>
          </w:p>
        </w:tc>
      </w:tr>
      <w:tr>
        <w:tc>
          <w:tcPr>
            <w:tcW w:type="dxa" w:w="3456"/>
            <w:shd w:val="clear" w:color="auto" w:fill="F0F3F7"/>
          </w:tcPr>
          <w:p>
            <w:r/>
            <w:r>
              <w:rPr>
                <w:b w:val="0"/>
                <w:sz w:val="19"/>
              </w:rPr>
              <w:t>Shares outstanding</w:t>
            </w:r>
          </w:p>
        </w:tc>
        <w:tc>
          <w:tcPr>
            <w:tcW w:type="dxa" w:w="5904"/>
            <w:shd w:val="clear" w:color="auto" w:fill="F0F3F7"/>
          </w:tcPr>
          <w:p>
            <w:r/>
            <w:r>
              <w:rPr>
                <w:b w:val="0"/>
                <w:sz w:val="19"/>
              </w:rPr>
              <w:t>~108–110 million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Net cash/debt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Roughly neutral (~$109M cash vs ~$133M debt); +$145M Video proceeds incoming</w:t>
            </w:r>
          </w:p>
        </w:tc>
      </w:tr>
      <w:tr>
        <w:tc>
          <w:tcPr>
            <w:tcW w:type="dxa" w:w="3456"/>
            <w:shd w:val="clear" w:color="auto" w:fill="F0F3F7"/>
          </w:tcPr>
          <w:p>
            <w:r/>
            <w:r>
              <w:rPr>
                <w:b w:val="0"/>
                <w:sz w:val="19"/>
              </w:rPr>
              <w:t>FY2025 revenue</w:t>
            </w:r>
          </w:p>
        </w:tc>
        <w:tc>
          <w:tcPr>
            <w:tcW w:type="dxa" w:w="5904"/>
            <w:shd w:val="clear" w:color="auto" w:fill="F0F3F7"/>
          </w:tcPr>
          <w:p>
            <w:r/>
            <w:r>
              <w:rPr>
                <w:b w:val="0"/>
                <w:sz w:val="19"/>
              </w:rPr>
              <w:t>$360.5M continuing ops (Broadband) / ~$570.8M combined incl. Video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Dividend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None</w:t>
            </w:r>
          </w:p>
        </w:tc>
      </w:tr>
      <w:tr>
        <w:tc>
          <w:tcPr>
            <w:tcW w:type="dxa" w:w="3456"/>
            <w:shd w:val="clear" w:color="auto" w:fill="F0F3F7"/>
          </w:tcPr>
          <w:p>
            <w:r/>
            <w:r>
              <w:rPr>
                <w:b w:val="0"/>
                <w:sz w:val="19"/>
              </w:rPr>
              <w:t>Buyback</w:t>
            </w:r>
          </w:p>
        </w:tc>
        <w:tc>
          <w:tcPr>
            <w:tcW w:type="dxa" w:w="5904"/>
            <w:shd w:val="clear" w:color="auto" w:fill="F0F3F7"/>
          </w:tcPr>
          <w:p>
            <w:r/>
            <w:r>
              <w:rPr>
                <w:b w:val="0"/>
                <w:sz w:val="19"/>
              </w:rPr>
              <w:t>$200M authorized (Feb 2025–Feb 2028); ~$122M done, ~$78M left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Reportable structure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Becoming pure-play Broadband; Video held-for-sale to MediaKind ($145M)</w:t>
            </w:r>
          </w:p>
        </w:tc>
      </w:tr>
      <w:tr>
        <w:tc>
          <w:tcPr>
            <w:tcW w:type="dxa" w:w="3456"/>
            <w:shd w:val="clear" w:color="auto" w:fill="F0F3F7"/>
          </w:tcPr>
          <w:p>
            <w:r/>
            <w:r>
              <w:rPr>
                <w:b w:val="0"/>
                <w:sz w:val="19"/>
              </w:rPr>
              <w:t>Backlog + deferred</w:t>
            </w:r>
          </w:p>
        </w:tc>
        <w:tc>
          <w:tcPr>
            <w:tcW w:type="dxa" w:w="5904"/>
            <w:shd w:val="clear" w:color="auto" w:fill="F0F3F7"/>
          </w:tcPr>
          <w:p>
            <w:r/>
            <w:r>
              <w:rPr>
                <w:b w:val="0"/>
                <w:sz w:val="19"/>
              </w:rPr>
              <w:t>$582.1M — record, +87% YoY (Q1 FY26)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Customer concentration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One customer (Comcast) ~54% of FY2025 revenue</w:t>
            </w:r>
          </w:p>
        </w:tc>
      </w:tr>
      <w:tr>
        <w:tc>
          <w:tcPr>
            <w:tcW w:type="dxa" w:w="3456"/>
            <w:shd w:val="clear" w:color="auto" w:fill="F0F3F7"/>
          </w:tcPr>
          <w:p>
            <w:r/>
            <w:r>
              <w:rPr>
                <w:b w:val="0"/>
                <w:sz w:val="19"/>
              </w:rPr>
              <w:t>Valuation</w:t>
            </w:r>
          </w:p>
        </w:tc>
        <w:tc>
          <w:tcPr>
            <w:tcW w:type="dxa" w:w="5904"/>
            <w:shd w:val="clear" w:color="auto" w:fill="F0F3F7"/>
          </w:tcPr>
          <w:p>
            <w:r/>
            <w:r>
              <w:rPr>
                <w:b w:val="0"/>
                <w:sz w:val="19"/>
              </w:rPr>
              <w:t>~mid-to-high-20s forward P/E (on FY26 non-GAAP guide); EV/EBITDA ~high-20s+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Sell-side rating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Buy / Moderate Buy; PTs ~$15–$20 (stock near targets)</w:t>
            </w:r>
          </w:p>
        </w:tc>
      </w:tr>
    </w:tbl>
    <w:p>
      <w:pPr>
        <w:jc w:val="center"/>
      </w:pPr>
      <w:r>
        <w:rPr>
          <w:i/>
          <w:color w:val="888888"/>
          <w:sz w:val="18"/>
        </w:rPr>
        <w:br/>
        <w:t>Prepared May 29, 2026  •  Research &amp; educational use only — not investment advice</w:t>
      </w:r>
    </w:p>
    <w:p>
      <w:r>
        <w:br w:type="page"/>
      </w:r>
    </w:p>
    <w:p>
      <w:pPr>
        <w:pBdr>
          <w:bottom w:val="single" w:sz="6" w:space="4" w:color="1A5C97"/>
        </w:pBdr>
        <w:spacing w:before="320" w:after="160"/>
      </w:pPr>
      <w:r>
        <w:rPr>
          <w:b/>
          <w:color w:val="1F2A44"/>
          <w:sz w:val="32"/>
        </w:rPr>
        <w:t>1.  Executive Summary</w:t>
      </w:r>
    </w:p>
    <w:p>
      <w:r>
        <w:rPr>
          <w:i w:val="0"/>
          <w:sz w:val="21"/>
        </w:rPr>
        <w:t>Harmonic is a communications-technology company in the middle of a defining transformation: it is selling its entire Video business to MediaKind for $145M cash (expected to close ~Q2 2026) to become a pure-play virtualized broadband-access company built around its cOS (formerly CableOS) platform — the market-leading virtual CMTS (vCMTS) software that powers cable operators’ broadband networks. After a sharp 2025 air-pocket (driven by a slower DOCSIS 4.0 ramp and a Comcast deployment slowdown), broadband re-accelerated hard in Q1 FY2026 (+43% YoY), guidance was raised, and the stock has roughly doubled off its 52-week low.</w:t>
      </w:r>
    </w:p>
    <w:p>
      <w:pPr>
        <w:pBdr>
          <w:left w:val="single" w:sz="24" w:space="8" w:color="1A5C97"/>
        </w:pBdr>
        <w:spacing w:before="120" w:after="160"/>
        <w:ind w:left="216"/>
      </w:pPr>
      <w:r>
        <w:rPr>
          <w:b/>
          <w:color w:val="1A5C97"/>
          <w:sz w:val="21"/>
        </w:rPr>
        <w:t xml:space="preserve">THE SETUP:  </w:t>
      </w:r>
      <w:r>
        <w:rPr>
          <w:sz w:val="21"/>
        </w:rPr>
        <w:t>A cable-infrastructure cyclical/turnaround re-rating on three threads at once — a DOCSIS 4.0 upgrade cycle inflecting, a value-unlocking Video divestiture that creates a cleaner pure-play story, and activist pressure for capital return. The stock now trades near consensus price targets, so much of the good news is priced in.</w:t>
      </w:r>
    </w:p>
    <w:p>
      <w:pPr>
        <w:spacing w:before="200" w:after="80"/>
      </w:pPr>
      <w:r>
        <w:rPr>
          <w:b/>
          <w:color w:val="1B7A3D"/>
          <w:sz w:val="25"/>
        </w:rPr>
        <w:t>The bull case in one paragraph</w:t>
      </w:r>
    </w:p>
    <w:p>
      <w:r>
        <w:rPr>
          <w:i w:val="0"/>
          <w:sz w:val="21"/>
        </w:rPr>
        <w:t>cOS is the leading vCMTS platform (150 customers, ~45.7M devices) at the start of a multi-year DOCSIS 4.0 commercial-deployment wave, with a record $582M backlog (+87% YoY), 43% Q1 broadband growth, and rapid diversification beyond Comcast/Charter ("Rest-of-Market" +78% YoY, &gt;50% of bookings). The MediaKind sale removes the lower-multiple Video drag, adds $145M of cash, and funds an active $200M buyback. A simpler, faster-growing, cash-generative pure-play broadband business should command a higher multiple than the old conglomerate.</w:t>
      </w:r>
    </w:p>
    <w:p>
      <w:pPr>
        <w:spacing w:before="200" w:after="80"/>
      </w:pPr>
      <w:r>
        <w:rPr>
          <w:b/>
          <w:color w:val="A32A2A"/>
          <w:sz w:val="25"/>
        </w:rPr>
        <w:t>The bear case in one paragraph</w:t>
      </w:r>
    </w:p>
    <w:p>
      <w:r>
        <w:rPr>
          <w:i w:val="0"/>
          <w:sz w:val="21"/>
        </w:rPr>
        <w:t>Revenue is lumpy and dangerously concentrated — one customer (Comcast) was ~54% of FY2025 revenue — and HLIT has a documented history of ~20%+ single-day crashes when a single MSO’s deployment timing shifts (it fell ~21% on Feb-2025 guidance). Competition is intensifying: CommScope bought Casa’s cable assets to scale its vCMTS, Vecima is entering, and Comcast already reallocated some remote-PHY volume to CommScope. 2026 gross margins compress on memory/DRAM and tariff costs, the Video sale isn’t closed yet, and after a ~+34% one-month run the stock sits at analyst targets with limited margin of safety.</w:t>
      </w:r>
    </w:p>
    <w:p>
      <w:pPr>
        <w:spacing w:before="200" w:after="80"/>
      </w:pPr>
      <w:r>
        <w:rPr>
          <w:b/>
          <w:color w:val="1F2A44"/>
          <w:sz w:val="25"/>
        </w:rPr>
        <w:t>Verdict</w:t>
      </w:r>
    </w:p>
    <w:p>
      <w:r>
        <w:rPr>
          <w:i w:val="0"/>
          <w:sz w:val="21"/>
        </w:rPr>
        <w:t>HLIT is a credible cable-capex-cycle turnaround with a genuine technology-leadership position in vCMTS and a clean, value-creating portfolio simplification. But it is a concentrated, lumpy, cyclical business — not a secular compounder — and the AI angle is largely narrative (see Section 6). After the re-rating it looks fairly valued: attractive on a pullback or on confirmation that the DOCSIS 4.0 ramp is durable and broad-based, less so as a chase at the highs.</w:t>
      </w:r>
    </w:p>
    <w:p>
      <w:pPr>
        <w:pBdr>
          <w:bottom w:val="single" w:sz="6" w:space="4" w:color="1A5C97"/>
        </w:pBdr>
        <w:spacing w:before="320" w:after="160"/>
      </w:pPr>
      <w:r>
        <w:rPr>
          <w:b/>
          <w:color w:val="1F2A44"/>
          <w:sz w:val="32"/>
        </w:rPr>
        <w:t>2.  Company Overview &amp; Business Segments</w:t>
      </w:r>
    </w:p>
    <w:p>
      <w:r>
        <w:rPr>
          <w:i w:val="0"/>
          <w:sz w:val="21"/>
        </w:rPr>
        <w:t>Harmonic (founded 1988, San Jose CA) historically operated two segments — Broadband and Video. As of 2025 the Video segment is classified as discontinued operations / held-for-sale ahead of its pending sale to MediaKind, so the go-forward company is essentially a single-segment, pure-play broadband-access business.</w:t>
      </w:r>
    </w:p>
    <w:p>
      <w:pPr>
        <w:pBdr>
          <w:left w:val="single" w:sz="24" w:space="8" w:color="1F2A44"/>
        </w:pBdr>
        <w:spacing w:before="120" w:after="160"/>
        <w:ind w:left="216"/>
      </w:pPr>
      <w:r>
        <w:rPr>
          <w:b/>
          <w:color w:val="1F2A44"/>
          <w:sz w:val="21"/>
        </w:rPr>
        <w:t xml:space="preserve">STRUCTURAL CHANGE:  </w:t>
      </w:r>
      <w:r>
        <w:rPr>
          <w:sz w:val="21"/>
        </w:rPr>
        <w:t>Watch the reporting basis. FY2025 continuing-ops (Broadband) revenue was $360.5M; the older combined-company figure (~$570.8M, incl. Video) is NOT comparable to the go-forward business. Mixing the two is the single easiest way to misread HLIT’s numbers right now.</w:t>
      </w:r>
    </w:p>
    <w:p>
      <w:pPr>
        <w:spacing w:before="200" w:after="80"/>
      </w:pPr>
      <w:r>
        <w:rPr>
          <w:b/>
          <w:color w:val="1F2A44"/>
          <w:sz w:val="25"/>
        </w:rPr>
        <w:t>The businesses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Business</w:t>
            </w:r>
          </w:p>
        </w:tc>
        <w:tc>
          <w:tcPr>
            <w:tcW w:type="dxa" w:w="576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2016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Status / scale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Broadband — cOS (CableOS)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Cloud-native, software-based virtual CMTS (vCMTS). Runs on commodity servers or public cloud; supports centralized and Distributed Access Architecture (DAA / Remote PHY), DOCSIS 3.1 and Unified DOCSIS 4.0, and fiber/PON (XGS-PON, EPON) over existing HFC plant. Adds AI network-ops software (Central, sensAI, Beacon).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Go-forward core. 150 customers, ~45.7M devices. FY25 rev $360.5M.</w:t>
            </w:r>
          </w:p>
        </w:tc>
      </w:tr>
      <w:tr>
        <w:tc>
          <w:tcPr>
            <w:tcW w:type="dxa" w:w="2448"/>
            <w:shd w:val="clear" w:color="auto" w:fill="F0F3F7"/>
          </w:tcPr>
          <w:p>
            <w:r/>
            <w:r>
              <w:rPr>
                <w:b w:val="0"/>
                <w:sz w:val="19"/>
              </w:rPr>
              <w:t>Video — VOS360 SaaS (being sold)</w:t>
            </w:r>
          </w:p>
        </w:tc>
        <w:tc>
          <w:tcPr>
            <w:tcW w:type="dxa" w:w="5760"/>
            <w:shd w:val="clear" w:color="auto" w:fill="F0F3F7"/>
          </w:tcPr>
          <w:p>
            <w:r/>
            <w:r>
              <w:rPr>
                <w:b w:val="0"/>
                <w:sz w:val="19"/>
              </w:rPr>
              <w:t>Public-cloud media SaaS: encoding/transcoding (EyeQ), playout, packaging, origin, server-side ad insertion, live sports/streaming. Includes the company’s most AI-native features.</w:t>
            </w:r>
          </w:p>
        </w:tc>
        <w:tc>
          <w:tcPr>
            <w:tcW w:type="dxa" w:w="2016"/>
            <w:shd w:val="clear" w:color="auto" w:fill="F0F3F7"/>
          </w:tcPr>
          <w:p>
            <w:r/>
            <w:r>
              <w:rPr>
                <w:b w:val="0"/>
                <w:sz w:val="19"/>
              </w:rPr>
              <w:t>Held-for-sale to MediaKind for $145M cash; ~1/3 of old revenue.</w:t>
            </w:r>
          </w:p>
        </w:tc>
      </w:tr>
    </w:tbl>
    <w:p>
      <w:r>
        <w:rPr>
          <w:i/>
          <w:color w:val="555555"/>
          <w:sz w:val="19"/>
        </w:rPr>
        <w:t>Management: CEO &amp; President Nimrod Ben-Natan (since June 2024); CFO Walter Jankovic (since May 2023). Insider ownership is small (CEO ~0.5%); trailing insider activity was modestly net buying.</w:t>
      </w:r>
    </w:p>
    <w:p>
      <w:pPr>
        <w:pBdr>
          <w:bottom w:val="single" w:sz="6" w:space="4" w:color="1A5C97"/>
        </w:pBdr>
        <w:spacing w:before="320" w:after="160"/>
      </w:pPr>
      <w:r>
        <w:rPr>
          <w:b/>
          <w:color w:val="1F2A44"/>
          <w:sz w:val="32"/>
        </w:rPr>
        <w:t>3.  Financial Profile</w:t>
      </w:r>
    </w:p>
    <w:p>
      <w:pPr>
        <w:spacing w:before="200" w:after="80"/>
      </w:pPr>
      <w:r>
        <w:rPr>
          <w:b/>
          <w:color w:val="1F2A44"/>
          <w:sz w:val="25"/>
        </w:rPr>
        <w:t>Recent results &amp;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Period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Broadband rev</w:t>
            </w:r>
          </w:p>
        </w:tc>
        <w:tc>
          <w:tcPr>
            <w:tcW w:type="dxa" w:w="1008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YoY</w:t>
            </w:r>
          </w:p>
        </w:tc>
        <w:tc>
          <w:tcPr>
            <w:tcW w:type="dxa" w:w="1728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Gross margin</w:t>
            </w:r>
          </w:p>
        </w:tc>
        <w:tc>
          <w:tcPr>
            <w:tcW w:type="dxa" w:w="1872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EPS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Q1 FY26 (Apr 3, 2026)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$121.7M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+43%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~52.5% (non-GAAP)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$0.21 NG / $0.10 GAAP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Beat (~$0.12 cons.); RoM +78%</w:t>
            </w:r>
          </w:p>
        </w:tc>
      </w:tr>
      <w:tr>
        <w:tc>
          <w:tcPr>
            <w:tcW w:type="dxa" w:w="2304"/>
            <w:shd w:val="clear" w:color="auto" w:fill="F0F3F7"/>
          </w:tcPr>
          <w:p>
            <w:r/>
            <w:r>
              <w:rPr>
                <w:b w:val="0"/>
                <w:sz w:val="19"/>
              </w:rPr>
              <w:t>FY2025 (continuing ops)</w:t>
            </w:r>
          </w:p>
        </w:tc>
        <w:tc>
          <w:tcPr>
            <w:tcW w:type="dxa" w:w="1440"/>
            <w:shd w:val="clear" w:color="auto" w:fill="F0F3F7"/>
          </w:tcPr>
          <w:p>
            <w:r/>
            <w:r>
              <w:rPr>
                <w:b w:val="0"/>
                <w:sz w:val="19"/>
              </w:rPr>
              <w:t>$360.5M</w:t>
            </w:r>
          </w:p>
        </w:tc>
        <w:tc>
          <w:tcPr>
            <w:tcW w:type="dxa" w:w="1008"/>
            <w:shd w:val="clear" w:color="auto" w:fill="F0F3F7"/>
          </w:tcPr>
          <w:p>
            <w:r/>
            <w:r>
              <w:rPr>
                <w:b w:val="0"/>
                <w:sz w:val="19"/>
              </w:rPr>
              <w:t>down yr</w:t>
            </w:r>
          </w:p>
        </w:tc>
        <w:tc>
          <w:tcPr>
            <w:tcW w:type="dxa" w:w="1728"/>
            <w:shd w:val="clear" w:color="auto" w:fill="F0F3F7"/>
          </w:tcPr>
          <w:p>
            <w:r/>
            <w:r>
              <w:rPr>
                <w:b w:val="0"/>
                <w:sz w:val="19"/>
              </w:rPr>
              <w:t>48.7%</w:t>
            </w:r>
          </w:p>
        </w:tc>
        <w:tc>
          <w:tcPr>
            <w:tcW w:type="dxa" w:w="1872"/>
            <w:shd w:val="clear" w:color="auto" w:fill="F0F3F7"/>
          </w:tcPr>
          <w:p>
            <w:r/>
            <w:r>
              <w:rPr>
                <w:b w:val="0"/>
                <w:sz w:val="19"/>
              </w:rPr>
              <w:t>NG net ~$7.2M</w:t>
            </w:r>
          </w:p>
        </w:tc>
        <w:tc>
          <w:tcPr>
            <w:tcW w:type="dxa" w:w="2160"/>
            <w:shd w:val="clear" w:color="auto" w:fill="F0F3F7"/>
          </w:tcPr>
          <w:p>
            <w:r/>
            <w:r>
              <w:rPr>
                <w:b w:val="0"/>
                <w:sz w:val="19"/>
              </w:rPr>
              <w:t>Down year on slow D4.0 ramp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FY2025 (combined, old basis)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~$570.8M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55.8%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$0.47 NG; $(0.38) GAAP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GAAP hit by Video disc. ops + $57.5M goodwill impair.</w:t>
            </w:r>
          </w:p>
        </w:tc>
      </w:tr>
      <w:tr>
        <w:tc>
          <w:tcPr>
            <w:tcW w:type="dxa" w:w="2304"/>
            <w:shd w:val="clear" w:color="auto" w:fill="F0F3F7"/>
          </w:tcPr>
          <w:p>
            <w:r/>
            <w:r>
              <w:rPr>
                <w:b w:val="0"/>
                <w:sz w:val="19"/>
              </w:rPr>
              <w:t>FY2026 guidance (raised)</w:t>
            </w:r>
          </w:p>
        </w:tc>
        <w:tc>
          <w:tcPr>
            <w:tcW w:type="dxa" w:w="1440"/>
            <w:shd w:val="clear" w:color="auto" w:fill="F0F3F7"/>
          </w:tcPr>
          <w:p>
            <w:r/>
            <w:r>
              <w:rPr>
                <w:b w:val="0"/>
                <w:sz w:val="19"/>
              </w:rPr>
              <w:t>$475–495M</w:t>
            </w:r>
          </w:p>
        </w:tc>
        <w:tc>
          <w:tcPr>
            <w:tcW w:type="dxa" w:w="1008"/>
            <w:shd w:val="clear" w:color="auto" w:fill="F0F3F7"/>
          </w:tcPr>
          <w:p>
            <w:r/>
            <w:r>
              <w:rPr>
                <w:b w:val="0"/>
                <w:sz w:val="19"/>
              </w:rPr>
              <w:t>growth</w:t>
            </w:r>
          </w:p>
        </w:tc>
        <w:tc>
          <w:tcPr>
            <w:tcW w:type="dxa" w:w="1728"/>
            <w:shd w:val="clear" w:color="auto" w:fill="F0F3F7"/>
          </w:tcPr>
          <w:p>
            <w:r/>
            <w:r>
              <w:rPr>
                <w:b w:val="0"/>
                <w:sz w:val="19"/>
              </w:rPr>
              <w:t>50–51.5%</w:t>
            </w:r>
          </w:p>
        </w:tc>
        <w:tc>
          <w:tcPr>
            <w:tcW w:type="dxa" w:w="1872"/>
            <w:shd w:val="clear" w:color="auto" w:fill="F0F3F7"/>
          </w:tcPr>
          <w:p>
            <w:r/>
            <w:r>
              <w:rPr>
                <w:b w:val="0"/>
                <w:sz w:val="19"/>
              </w:rPr>
              <w:t>$0.57–0.67 NG</w:t>
            </w:r>
          </w:p>
        </w:tc>
        <w:tc>
          <w:tcPr>
            <w:tcW w:type="dxa" w:w="2160"/>
            <w:shd w:val="clear" w:color="auto" w:fill="F0F3F7"/>
          </w:tcPr>
          <w:p>
            <w:r/>
            <w:r>
              <w:rPr>
                <w:b w:val="0"/>
                <w:sz w:val="19"/>
              </w:rPr>
              <w:t>GM down on memory/tariff/ramp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Q2 FY26 guidance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$115–125M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52–53%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$0.15–0.19 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</w:tbl>
    <w:p>
      <w:r>
        <w:rPr>
          <w:i/>
          <w:color w:val="555555"/>
          <w:sz w:val="19"/>
        </w:rPr>
        <w:t>Q1 FY26 generated operating cash flow $31.7M / FCF $30.3M. "Rest-of-Market" (non-Comcast/Charter) revenue was $50.6M (+78% YoY) = ~42% of broadband revenue, and &gt;50% of bookings — the diversification the bulls point to.</w:t>
      </w:r>
    </w:p>
    <w:p>
      <w:pPr>
        <w:spacing w:before="200" w:after="80"/>
      </w:pPr>
      <w:r>
        <w:rPr>
          <w:b/>
          <w:color w:val="1F2A44"/>
          <w:sz w:val="25"/>
        </w:rPr>
        <w:t>Balance sheet &amp; capital return</w:t>
      </w:r>
    </w:p>
    <w:p>
      <w:pPr>
        <w:pStyle w:val="ListBullet"/>
      </w:pPr>
      <w:r>
        <w:rPr>
          <w:b/>
        </w:rPr>
        <w:t xml:space="preserve">Liquidity: </w:t>
      </w:r>
      <w:r>
        <w:t>~$109M cash at Q1 FY26 quarter-end, plus an undrawn ~$82M revolver; roughly net-cash-neutral against ~$133M debt. The 2024 convertible notes were settled in April 2024.</w:t>
      </w:r>
    </w:p>
    <w:p>
      <w:pPr>
        <w:pStyle w:val="ListBullet"/>
      </w:pPr>
      <w:r>
        <w:rPr>
          <w:b/>
        </w:rPr>
        <w:t xml:space="preserve">Buyback: </w:t>
      </w:r>
      <w:r>
        <w:t>$200M authorized (Feb 2025–Feb 2028); ~$122M repurchased to date (incl. $43M / 4.2M shares in Q1 FY26); ~$78M remaining. No dividend.</w:t>
      </w:r>
    </w:p>
    <w:p>
      <w:pPr>
        <w:pStyle w:val="ListBullet"/>
      </w:pPr>
      <w:r>
        <w:rPr>
          <w:b/>
        </w:rPr>
        <w:t xml:space="preserve">Incoming cash: </w:t>
      </w:r>
      <w:r>
        <w:t>The $145M Video-sale proceeds (expected Q2 2026) materially boost cash for buybacks and/or broadband bolt-on M&amp;A; activists are pushing for buybacks.</w:t>
      </w:r>
    </w:p>
    <w:p>
      <w:pPr>
        <w:pBdr>
          <w:bottom w:val="single" w:sz="6" w:space="4" w:color="1A5C97"/>
        </w:pBdr>
        <w:spacing w:before="320" w:after="160"/>
      </w:pPr>
      <w:r>
        <w:rPr>
          <w:b/>
          <w:color w:val="1F2A44"/>
          <w:sz w:val="32"/>
        </w:rPr>
        <w:t>4.  The Bull Case</w:t>
      </w:r>
    </w:p>
    <w:p>
      <w:pPr>
        <w:spacing w:before="200" w:after="80"/>
      </w:pPr>
      <w:r>
        <w:rPr>
          <w:b/>
          <w:color w:val="1B7A3D"/>
          <w:sz w:val="25"/>
        </w:rPr>
        <w:t>4.1  cOS / DOCSIS 4.0 — leading platform into an upgrade supercycle</w:t>
      </w:r>
    </w:p>
    <w:p>
      <w:pPr>
        <w:pStyle w:val="ListBullet"/>
      </w:pPr>
      <w:r>
        <w:rPr>
          <w:b/>
        </w:rPr>
        <w:t xml:space="preserve">Leadership: </w:t>
      </w:r>
      <w:r>
        <w:t>Harmonic is the vCMTS market leader (historically ~98% share in 2023, Comcast-driven — now compressing as rivals win deployments). 150 cOS customers serving ~45.7M devices.</w:t>
      </w:r>
    </w:p>
    <w:p>
      <w:pPr>
        <w:pStyle w:val="ListBullet"/>
      </w:pPr>
      <w:r>
        <w:rPr>
          <w:b/>
        </w:rPr>
        <w:t xml:space="preserve">The inflection: </w:t>
      </w:r>
      <w:r>
        <w:t>Management frames DOCSIS 4.0 as moving "from field trials to scale commercial deployments — an important inflection point"; unified D4.0 node shipments began ramping in Q1 FY26; cOS set a 14 Gbps downstream record at CableLabs.</w:t>
      </w:r>
    </w:p>
    <w:p>
      <w:pPr>
        <w:pStyle w:val="ListBullet"/>
      </w:pPr>
      <w:r>
        <w:rPr>
          <w:b/>
        </w:rPr>
        <w:t xml:space="preserve">Named deployments: </w:t>
      </w:r>
      <w:r>
        <w:t>Comcast (D4.0 live in parts of 10 markets, &gt;1M homes, accelerating), Charter (vCMTS across full footprint; expected ~20% of 2026 revenue), Vodafone Germany, Mediacom, izzi (Mexico).</w:t>
      </w:r>
    </w:p>
    <w:p>
      <w:pPr>
        <w:spacing w:before="200" w:after="80"/>
      </w:pPr>
      <w:r>
        <w:rPr>
          <w:b/>
          <w:color w:val="1B7A3D"/>
          <w:sz w:val="25"/>
        </w:rPr>
        <w:t>4.2  Customer diversification</w:t>
      </w:r>
    </w:p>
    <w:p>
      <w:pPr>
        <w:pStyle w:val="ListBullet"/>
      </w:pPr>
      <w:r>
        <w:t>"Rest-of-Market" revenue +78% YoY to $50.6M (~42% of broadband revenue) and &gt;50% of bookings — directly attacking the historical Comcast/Charter concentration knock.</w:t>
      </w:r>
    </w:p>
    <w:p>
      <w:pPr>
        <w:spacing w:before="200" w:after="80"/>
      </w:pPr>
      <w:r>
        <w:rPr>
          <w:b/>
          <w:color w:val="1B7A3D"/>
          <w:sz w:val="25"/>
        </w:rPr>
        <w:t>4.3  Record backlog / visibility</w:t>
      </w:r>
    </w:p>
    <w:p>
      <w:pPr>
        <w:pStyle w:val="ListBullet"/>
      </w:pPr>
      <w:r>
        <w:t>Backlog + deferred revenue at a record $582.1M, +87% YoY, ~60% expected to convert within 12 months. Q4 FY25 booked a 3.5x book-to-bill quarter. Strong forward visibility underpins the raised guide.</w:t>
      </w:r>
    </w:p>
    <w:p>
      <w:pPr>
        <w:spacing w:before="200" w:after="80"/>
      </w:pPr>
      <w:r>
        <w:rPr>
          <w:b/>
          <w:color w:val="1B7A3D"/>
          <w:sz w:val="25"/>
        </w:rPr>
        <w:t>4.4  Portfolio simplification — the MediaKind Video sale</w:t>
      </w:r>
    </w:p>
    <w:p>
      <w:pPr>
        <w:pStyle w:val="ListBullet"/>
      </w:pPr>
      <w:r>
        <w:t>Selling Video for $145M cash removes a lower-growth, lower-multiple drag, adds capital, and creates a clean pure-play broadband story that should re-rate (sum-of-the-parts / focus argument). Detailed in Section 7.1.</w:t>
      </w:r>
    </w:p>
    <w:p>
      <w:pPr>
        <w:spacing w:before="200" w:after="80"/>
      </w:pPr>
      <w:r>
        <w:rPr>
          <w:b/>
          <w:color w:val="1B7A3D"/>
          <w:sz w:val="25"/>
        </w:rPr>
        <w:t>4.5  Capital return &amp; cash generation</w:t>
      </w:r>
    </w:p>
    <w:p>
      <w:pPr>
        <w:pStyle w:val="ListBullet"/>
      </w:pPr>
      <w:r>
        <w:t>Active $200M buyback (~$78M left) plus incoming $145M proceeds and growing FCF give a real capital-return engine — and activists are pushing management to lean into it.</w:t>
      </w:r>
    </w:p>
    <w:p>
      <w:pPr>
        <w:spacing w:before="200" w:after="80"/>
      </w:pPr>
      <w:r>
        <w:rPr>
          <w:b/>
          <w:color w:val="1B7A3D"/>
          <w:sz w:val="25"/>
        </w:rPr>
        <w:t>4.6  Fiber/PON optionality</w:t>
      </w:r>
    </w:p>
    <w:p>
      <w:pPr>
        <w:pStyle w:val="ListBullet"/>
      </w:pPr>
      <w:r>
        <w:t>cOS runs vBNG for both DOCSIS and PON on one platform; new FTTH portfolio (Pearl-1XL R-OLT, Jetty-3 node, Fin-Lite/Fin-2 OLT modules) extends the TAM beyond cable into fiber broadband.</w:t>
      </w:r>
    </w:p>
    <w:p>
      <w:pPr>
        <w:pBdr>
          <w:bottom w:val="single" w:sz="6" w:space="4" w:color="1A5C97"/>
        </w:pBdr>
        <w:spacing w:before="320" w:after="160"/>
      </w:pPr>
      <w:r>
        <w:rPr>
          <w:b/>
          <w:color w:val="1F2A44"/>
          <w:sz w:val="32"/>
        </w:rPr>
        <w:t>5.  The Bear Case</w:t>
      </w:r>
    </w:p>
    <w:p>
      <w:pPr>
        <w:spacing w:before="200" w:after="80"/>
      </w:pPr>
      <w:r>
        <w:rPr>
          <w:b/>
          <w:color w:val="A32A2A"/>
          <w:sz w:val="25"/>
        </w:rPr>
        <w:t>5.1  Extreme customer concentration</w:t>
      </w:r>
    </w:p>
    <w:p>
      <w:pPr>
        <w:pStyle w:val="ListBullet"/>
      </w:pPr>
      <w:r>
        <w:t>One customer (Comcast) was ~54% of FY2025 revenue; two customers (Comcast + Charter) ~58% of Q1 FY26 broadband revenue. A single customer’s capex pace can make or break the year.</w:t>
      </w:r>
    </w:p>
    <w:p>
      <w:pPr>
        <w:pStyle w:val="ListBullet"/>
      </w:pPr>
      <w:r>
        <w:t>This is not theoretical: a Comcast allocation shift toward CommScope remote-PHY devices was blamed for the H1-2025 slowdown.</w:t>
      </w:r>
    </w:p>
    <w:p>
      <w:pPr>
        <w:spacing w:before="200" w:after="80"/>
      </w:pPr>
      <w:r>
        <w:rPr>
          <w:b/>
          <w:color w:val="A32A2A"/>
          <w:sz w:val="25"/>
        </w:rPr>
        <w:t>5.2  Lumpy revenue &amp; a history of violent drawdowns</w:t>
      </w:r>
    </w:p>
    <w:p>
      <w:pPr>
        <w:pStyle w:val="ListBullet"/>
      </w:pPr>
      <w:r>
        <w:t>On Feb-2025 guidance, FY2025 revenue was cut to $585–645M vs ~$727M Street, and the stock plunged ~21% in a day. Broadband ultimately fell to $360.5M — 2025 was a down year. The downside sensitivity to MSO timing is the central risk.</w:t>
      </w:r>
    </w:p>
    <w:p>
      <w:pPr>
        <w:spacing w:before="200" w:after="80"/>
      </w:pPr>
      <w:r>
        <w:rPr>
          <w:b/>
          <w:color w:val="A32A2A"/>
          <w:sz w:val="25"/>
        </w:rPr>
        <w:t>5.3  Intensifying competition</w:t>
      </w:r>
    </w:p>
    <w:p>
      <w:pPr>
        <w:pStyle w:val="ListBullet"/>
      </w:pPr>
      <w:r>
        <w:t>CommScope acquired Casa Systems’ cable assets (~$45M) to scale vCMTS; Vecima is entering with field trials; Nokia and telco fiber overbuilders pressure the broader TAM. The historical ~98% share will compress.</w:t>
      </w:r>
    </w:p>
    <w:p>
      <w:pPr>
        <w:pStyle w:val="ListBullet"/>
      </w:pPr>
      <w:r>
        <w:t>Supply dependency on sole/limited-source components and contract manufacturer Plexus is a stated 10-K risk.</w:t>
      </w:r>
    </w:p>
    <w:p>
      <w:pPr>
        <w:spacing w:before="200" w:after="80"/>
      </w:pPr>
      <w:r>
        <w:rPr>
          <w:b/>
          <w:color w:val="A32A2A"/>
          <w:sz w:val="25"/>
        </w:rPr>
        <w:t>5.4  DOCSIS 4.0 timing &amp; cable’s secular pressures</w:t>
      </w:r>
    </w:p>
    <w:p>
      <w:pPr>
        <w:pStyle w:val="ListBullet"/>
      </w:pPr>
      <w:r>
        <w:t>The 2026 reacceleration so far rests on a single beat (Q1). MSO capex can slip again, and cable broadband faces fiber overbuild and fixed-wireless (FWA) competition plus the post-ACP subscriber headwind — capping long-run TAM growth.</w:t>
      </w:r>
    </w:p>
    <w:p>
      <w:pPr>
        <w:spacing w:before="200" w:after="80"/>
      </w:pPr>
      <w:r>
        <w:rPr>
          <w:b/>
          <w:color w:val="A32A2A"/>
          <w:sz w:val="25"/>
        </w:rPr>
        <w:t>5.5  Margin compression in 2026</w:t>
      </w:r>
    </w:p>
    <w:p>
      <w:pPr>
        <w:pStyle w:val="ListBullet"/>
      </w:pPr>
      <w:r>
        <w:t>Full-year 2026 gross margin guided down to ~50–51.5% (from Q1’s ~52.5% and FY25 combined 55.8%) on elevated memory/DRAM costs, tariffs, and the new D4.0 node ramp — an AI-adjacent supply-chain headwind (AI demand is tightening memory pricing).</w:t>
      </w:r>
    </w:p>
    <w:p>
      <w:pPr>
        <w:spacing w:before="200" w:after="80"/>
      </w:pPr>
      <w:r>
        <w:rPr>
          <w:b/>
          <w:color w:val="A32A2A"/>
          <w:sz w:val="25"/>
        </w:rPr>
        <w:t>5.6  Deal &amp; valuation risk</w:t>
      </w:r>
    </w:p>
    <w:p>
      <w:pPr>
        <w:pStyle w:val="ListBullet"/>
      </w:pPr>
      <w:r>
        <w:rPr>
          <w:b/>
        </w:rPr>
        <w:t xml:space="preserve">Deal: </w:t>
      </w:r>
      <w:r>
        <w:t>The Video sale is not yet closed (regulatory + closing conditions; long-stop to ~Sep 2026) — a delay/break is a live risk, with ~$10M of stranded costs near-term.</w:t>
      </w:r>
    </w:p>
    <w:p>
      <w:pPr>
        <w:pStyle w:val="ListBullet"/>
      </w:pPr>
      <w:r>
        <w:rPr>
          <w:b/>
        </w:rPr>
        <w:t xml:space="preserve">Valuation: </w:t>
      </w:r>
      <w:r>
        <w:t>After a ~+34% one-month run to ~$17, the stock trades at/near consensus targets (~$15–$20) and a high-20s forward P/E / EV-EBITDA — limited margin of safety if lumpy revenue reverts. Short interest is low (~2.7%), so no squeeze cushion.</w:t>
      </w:r>
    </w:p>
    <w:p>
      <w:pPr>
        <w:pBdr>
          <w:bottom w:val="single" w:sz="6" w:space="4" w:color="1A5C97"/>
        </w:pBdr>
        <w:spacing w:before="320" w:after="160"/>
      </w:pPr>
      <w:r>
        <w:rPr>
          <w:b/>
          <w:color w:val="1F2A44"/>
          <w:sz w:val="32"/>
        </w:rPr>
        <w:t>6.  The AI Secular Tailwind — How Real Is It?</w:t>
      </w:r>
    </w:p>
    <w:p>
      <w:r>
        <w:rPr>
          <w:i/>
          <w:sz w:val="21"/>
        </w:rPr>
        <w:t>Assessment: for the go-forward pure-play broadband company, the AI link is mostly narrative with a thin genuine kernel. The irony: HLIT’s most AI-native assets are being sold. Sorted into tiers:</w:t>
      </w:r>
    </w:p>
    <w:p>
      <w:pPr>
        <w:spacing w:before="200" w:after="80"/>
      </w:pPr>
      <w:r>
        <w:rPr>
          <w:b/>
          <w:color w:val="1B7A3D"/>
          <w:sz w:val="25"/>
        </w:rPr>
        <w:t>Tier 1 — Genuine but immaterial today: AI network-ops software</w:t>
      </w:r>
    </w:p>
    <w:p>
      <w:pPr>
        <w:pStyle w:val="ListBullet"/>
      </w:pPr>
      <w:r>
        <w:rPr>
          <w:b/>
        </w:rPr>
        <w:t xml:space="preserve">Central / sensAI / Beacon: </w:t>
      </w:r>
      <w:r>
        <w:t>Harmonic ships real AI products for network operations — "Central" (agentic AI + analytics + automation), "cOS sensAI" (agentic assistant interpreting live telemetry, predicting faults), and "Beacon"/"Pathfinder" (AI spectrum/bandwidth optimization). Early result: Beacon cut customer-support calls &gt;30% at early adopters.</w:t>
      </w:r>
    </w:p>
    <w:p>
      <w:pPr>
        <w:pBdr>
          <w:left w:val="single" w:sz="24" w:space="8" w:color="1B7A3D"/>
        </w:pBdr>
        <w:spacing w:before="120" w:after="160"/>
        <w:ind w:left="216"/>
      </w:pPr>
      <w:r>
        <w:rPr>
          <w:b/>
          <w:color w:val="1B7A3D"/>
          <w:sz w:val="21"/>
        </w:rPr>
        <w:t xml:space="preserve">CAVEAT:  </w:t>
      </w:r>
      <w:r>
        <w:rPr>
          <w:sz w:val="21"/>
        </w:rPr>
        <w:t>These are early-stage and NOT a disclosed material revenue line — optionality on future ARPU/margin, not current earnings. ~0% of revenue is directly AI-levered today.</w:t>
      </w:r>
    </w:p>
    <w:p>
      <w:pPr>
        <w:spacing w:before="200" w:after="80"/>
      </w:pPr>
      <w:r>
        <w:rPr>
          <w:b/>
          <w:color w:val="1A5C97"/>
          <w:sz w:val="25"/>
        </w:rPr>
        <w:t>Tier 2 — Diffuse / indirect: "AI traffic lifts bandwidth demand"</w:t>
      </w:r>
    </w:p>
    <w:p>
      <w:pPr>
        <w:pStyle w:val="ListBullet"/>
      </w:pPr>
      <w:r>
        <w:rPr>
          <w:b/>
        </w:rPr>
        <w:t xml:space="preserve">The thesis: </w:t>
      </w:r>
      <w:r>
        <w:t>Management leans into "a world where AI is making broadband capacity and quality of service even more essential." Plausible long-run, but the proximate growth driver is the DOCSIS 4.0 upgrade cycle and international/fiber expansion, which would be happening regardless (4K/8K, streaming, gaming, upstream growth).</w:t>
      </w:r>
    </w:p>
    <w:p>
      <w:pPr>
        <w:pBdr>
          <w:left w:val="single" w:sz="24" w:space="8" w:color="A32A2A"/>
        </w:pBdr>
        <w:spacing w:before="120" w:after="160"/>
        <w:ind w:left="216"/>
      </w:pPr>
      <w:r>
        <w:rPr>
          <w:b/>
          <w:color w:val="A32A2A"/>
          <w:sz w:val="21"/>
        </w:rPr>
        <w:t xml:space="preserve">SKEPTIC FLAG:  </w:t>
      </w:r>
      <w:r>
        <w:rPr>
          <w:sz w:val="21"/>
        </w:rPr>
        <w:t>The strongest AI-traffic studies (Nokia/Cisco: AI driving large WAN surges) apply to hyperscaler/data-center and core/transport fiber — which benefits Ciena, Corning and optical vendors, NOT residential cable HFC access. The "AI → more cable bandwidth → more cOS" link is second-order and gradual.</w:t>
      </w:r>
    </w:p>
    <w:p>
      <w:pPr>
        <w:spacing w:before="200" w:after="80"/>
      </w:pPr>
      <w:r>
        <w:rPr>
          <w:b/>
          <w:color w:val="A32A2A"/>
          <w:sz w:val="25"/>
        </w:rPr>
        <w:t>Tier 3 — Being divested: the video/streaming AI</w:t>
      </w:r>
    </w:p>
    <w:p>
      <w:pPr>
        <w:pStyle w:val="ListBullet"/>
      </w:pPr>
      <w:r>
        <w:rPr>
          <w:b/>
        </w:rPr>
        <w:t xml:space="preserve">Net: </w:t>
      </w:r>
      <w:r>
        <w:t>VOS360’s GenAI features (AI subtitles, real-time sports clipping, translation/voice-cloning), AI server-side ad insertion, EyeQ "AI" content-aware encoding (up to 50% bitrate savings), and the new AI Orchestration Service are genuine — but they leave with the MediaKind sale and become MediaKind’s value story, not HLIT’s.</w:t>
      </w:r>
    </w:p>
    <w:p>
      <w:pPr>
        <w:spacing w:before="200" w:after="80"/>
      </w:pPr>
      <w:r>
        <w:rPr>
          <w:b/>
          <w:color w:val="1F2A44"/>
          <w:sz w:val="25"/>
        </w:rPr>
        <w:t>Bottom line</w:t>
      </w:r>
    </w:p>
    <w:p>
      <w:r>
        <w:rPr>
          <w:i w:val="0"/>
          <w:sz w:val="21"/>
        </w:rPr>
        <w:t>HLIT is best classified as a cable-infrastructure cyclical/turnaround that is marketing an AI overlay, not a primary AI beneficiary. Roughly 0% of go-forward revenue is directly AI-levered; AI is a modest, hard-to-isolate slice of the multi-year bandwidth-demand backdrop, plus an unproven network-ops software call option. Be skeptical of any pitch framing HLIT as "an AI play."</w:t>
      </w:r>
    </w:p>
    <w:p>
      <w:pPr>
        <w:pBdr>
          <w:bottom w:val="single" w:sz="6" w:space="4" w:color="1A5C97"/>
        </w:pBdr>
        <w:spacing w:before="320" w:after="160"/>
      </w:pPr>
      <w:r>
        <w:rPr>
          <w:b/>
          <w:color w:val="1F2A44"/>
          <w:sz w:val="32"/>
        </w:rPr>
        <w:t>7.  Near-Term Catalysts (Next 3–12 Months)</w:t>
      </w:r>
    </w:p>
    <w:p>
      <w:pPr>
        <w:spacing w:before="200" w:after="80"/>
      </w:pPr>
      <w:r>
        <w:rPr>
          <w:b/>
          <w:color w:val="1F2A44"/>
          <w:sz w:val="25"/>
        </w:rPr>
        <w:t>7.1  Transformation spotlight — the MediaKind Video sale &amp; activists</w:t>
      </w:r>
    </w:p>
    <w:p>
      <w:pPr>
        <w:pStyle w:val="ListBullet"/>
      </w:pPr>
      <w:r>
        <w:rPr>
          <w:b/>
        </w:rPr>
        <w:t xml:space="preserve">The deal: </w:t>
      </w:r>
      <w:r>
        <w:t>Selling its Video business to MediaKind (legal entity Leone Media Inc.) for $145M cash. Binding offer Dec 8, 2025; APA signed ~Mar 20, 2026 after French works-council consultation; targeted close Q2 2026 (long-stop ~Sep 8, 2026); 3-year non-compete. ~$10M stranded costs near-term, ~30% removed within ~1 year.</w:t>
      </w:r>
    </w:p>
    <w:p>
      <w:pPr>
        <w:pStyle w:val="ListBullet"/>
      </w:pPr>
      <w:r>
        <w:rPr>
          <w:b/>
        </w:rPr>
        <w:t xml:space="preserve">Activists: </w:t>
      </w:r>
      <w:r>
        <w:t>Ancora Holdings ran a campaign (Nov 2024, ~2.3% stake) urging a strategic review / sale and floated Ciena as a logical acquirer; Romanesque Capital publicly backed a sale. Pressure for buybacks with the proceeds is ongoing.</w:t>
      </w:r>
    </w:p>
    <w:p>
      <w:pPr>
        <w:spacing w:before="200" w:after="80"/>
      </w:pPr>
      <w:r>
        <w:rPr>
          <w:b/>
          <w:color w:val="1F2A44"/>
          <w:sz w:val="25"/>
        </w:rPr>
        <w:t>7.2  Catalyst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Catalyst</w:t>
            </w:r>
          </w:p>
        </w:tc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Timing</w:t>
            </w:r>
          </w:p>
        </w:tc>
        <w:tc>
          <w:tcPr>
            <w:tcW w:type="dxa" w:w="4608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Video sale close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Targeted Q2 2026 (long-stop ~Sep 8, 2026)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Triggers the pure-play re-rating + likely buyback acceleration. Deal-break/delay is the key risk.</w:t>
            </w:r>
          </w:p>
        </w:tc>
      </w:tr>
      <w:tr>
        <w:tc>
          <w:tcPr>
            <w:tcW w:type="dxa" w:w="2304"/>
            <w:shd w:val="clear" w:color="auto" w:fill="F0F3F7"/>
          </w:tcPr>
          <w:p>
            <w:r/>
            <w:r>
              <w:rPr>
                <w:b w:val="0"/>
                <w:sz w:val="19"/>
              </w:rPr>
              <w:t>Q2 FY2026 earnings</w:t>
            </w:r>
          </w:p>
        </w:tc>
        <w:tc>
          <w:tcPr>
            <w:tcW w:type="dxa" w:w="2448"/>
            <w:shd w:val="clear" w:color="auto" w:fill="F0F3F7"/>
          </w:tcPr>
          <w:p>
            <w:r/>
            <w:r>
              <w:rPr>
                <w:b w:val="0"/>
                <w:sz w:val="19"/>
              </w:rPr>
              <w:t>~Late July 2026 (est.; not confirmed)</w:t>
            </w:r>
          </w:p>
        </w:tc>
        <w:tc>
          <w:tcPr>
            <w:tcW w:type="dxa" w:w="4608"/>
            <w:shd w:val="clear" w:color="auto" w:fill="F0F3F7"/>
          </w:tcPr>
          <w:p>
            <w:r/>
            <w:r>
              <w:rPr>
                <w:b w:val="0"/>
                <w:sz w:val="19"/>
              </w:rPr>
              <w:t>Tests durability of the broadband re-accel vs guide ($115–125M rev, $0.15–0.19 non-GAAP EPS).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DOCSIS 4.0 ramp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Through 2026–2027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Comcast accelerating (&gt;1M homes, 10 markets); Charter scaling toward ~20% of 2026 revenue; Vodafone DE, Mediacom.</w:t>
            </w:r>
          </w:p>
        </w:tc>
      </w:tr>
      <w:tr>
        <w:tc>
          <w:tcPr>
            <w:tcW w:type="dxa" w:w="2304"/>
            <w:shd w:val="clear" w:color="auto" w:fill="F0F3F7"/>
          </w:tcPr>
          <w:p>
            <w:r/>
            <w:r>
              <w:rPr>
                <w:b w:val="0"/>
                <w:sz w:val="19"/>
              </w:rPr>
              <w:t>Capital-return decision</w:t>
            </w:r>
          </w:p>
        </w:tc>
        <w:tc>
          <w:tcPr>
            <w:tcW w:type="dxa" w:w="2448"/>
            <w:shd w:val="clear" w:color="auto" w:fill="F0F3F7"/>
          </w:tcPr>
          <w:p>
            <w:r/>
            <w:r>
              <w:rPr>
                <w:b w:val="0"/>
                <w:sz w:val="19"/>
              </w:rPr>
              <w:t>Post-close</w:t>
            </w:r>
          </w:p>
        </w:tc>
        <w:tc>
          <w:tcPr>
            <w:tcW w:type="dxa" w:w="4608"/>
            <w:shd w:val="clear" w:color="auto" w:fill="F0F3F7"/>
          </w:tcPr>
          <w:p>
            <w:r/>
            <w:r>
              <w:rPr>
                <w:b w:val="0"/>
                <w:sz w:val="19"/>
              </w:rPr>
              <w:t>How management deploys the $145M proceeds (buybacks vs broadband M&amp;A) — activists want buybacks.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Analyst re-rating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Ongoing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Post-Q1 PT raises: Rosenblatt $20, Needham $18, Northland $15; consensus Buy with stock near targets.</w:t>
            </w:r>
          </w:p>
        </w:tc>
      </w:tr>
      <w:tr>
        <w:tc>
          <w:tcPr>
            <w:tcW w:type="dxa" w:w="2304"/>
            <w:shd w:val="clear" w:color="auto" w:fill="F0F3F7"/>
          </w:tcPr>
          <w:p>
            <w:r/>
            <w:r>
              <w:rPr>
                <w:b w:val="0"/>
                <w:sz w:val="19"/>
              </w:rPr>
              <w:t>Renewed activist action</w:t>
            </w:r>
          </w:p>
        </w:tc>
        <w:tc>
          <w:tcPr>
            <w:tcW w:type="dxa" w:w="2448"/>
            <w:shd w:val="clear" w:color="auto" w:fill="F0F3F7"/>
          </w:tcPr>
          <w:p>
            <w:r/>
            <w:r>
              <w:rPr>
                <w:b w:val="0"/>
                <w:sz w:val="19"/>
              </w:rPr>
              <w:t>Opportunistic</w:t>
            </w:r>
          </w:p>
        </w:tc>
        <w:tc>
          <w:tcPr>
            <w:tcW w:type="dxa" w:w="4608"/>
            <w:shd w:val="clear" w:color="auto" w:fill="F0F3F7"/>
          </w:tcPr>
          <w:p>
            <w:r/>
            <w:r>
              <w:rPr>
                <w:b w:val="0"/>
                <w:sz w:val="19"/>
              </w:rPr>
              <w:t>Further pressure (full-company sale, e.g., to Ciena) remains a tail catalyst.</w:t>
            </w:r>
          </w:p>
        </w:tc>
      </w:tr>
    </w:tbl>
    <w:p>
      <w:pPr>
        <w:pBdr>
          <w:bottom w:val="single" w:sz="6" w:space="4" w:color="1A5C97"/>
        </w:pBdr>
        <w:spacing w:before="320" w:after="160"/>
      </w:pPr>
      <w:r>
        <w:rPr>
          <w:b/>
          <w:color w:val="1F2A44"/>
          <w:sz w:val="32"/>
        </w:rPr>
        <w:t>8.  Bull/Bear Scorecard &amp; What Would Change the Thesis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3816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Bull read</w:t>
            </w:r>
          </w:p>
        </w:tc>
        <w:tc>
          <w:tcPr>
            <w:tcW w:type="dxa" w:w="3816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Bear read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Growth</w:t>
            </w:r>
          </w:p>
        </w:tc>
        <w:tc>
          <w:tcPr>
            <w:tcW w:type="dxa" w:w="3816"/>
          </w:tcPr>
          <w:p>
            <w:r/>
            <w:r>
              <w:rPr>
                <w:b w:val="0"/>
                <w:sz w:val="19"/>
              </w:rPr>
              <w:t>Broadband +43%; record $582M backlog; D4.0 inflecting</w:t>
            </w:r>
          </w:p>
        </w:tc>
        <w:tc>
          <w:tcPr>
            <w:tcW w:type="dxa" w:w="3816"/>
          </w:tcPr>
          <w:p>
            <w:r/>
            <w:r>
              <w:rPr>
                <w:b w:val="0"/>
                <w:sz w:val="19"/>
              </w:rPr>
              <w:t>2025 was a down year; 2026 rests on one beat so far</w:t>
            </w:r>
          </w:p>
        </w:tc>
      </w:tr>
      <w:tr>
        <w:tc>
          <w:tcPr>
            <w:tcW w:type="dxa" w:w="1728"/>
            <w:shd w:val="clear" w:color="auto" w:fill="F0F3F7"/>
          </w:tcPr>
          <w:p>
            <w:r/>
            <w:r>
              <w:rPr>
                <w:b w:val="0"/>
                <w:sz w:val="19"/>
              </w:rPr>
              <w:t>Concentration</w:t>
            </w:r>
          </w:p>
        </w:tc>
        <w:tc>
          <w:tcPr>
            <w:tcW w:type="dxa" w:w="3816"/>
            <w:shd w:val="clear" w:color="auto" w:fill="F0F3F7"/>
          </w:tcPr>
          <w:p>
            <w:r/>
            <w:r>
              <w:rPr>
                <w:b w:val="0"/>
                <w:sz w:val="19"/>
              </w:rPr>
              <w:t>RoM +78%, &gt;50% of bookings — diversifying</w:t>
            </w:r>
          </w:p>
        </w:tc>
        <w:tc>
          <w:tcPr>
            <w:tcW w:type="dxa" w:w="3816"/>
            <w:shd w:val="clear" w:color="auto" w:fill="F0F3F7"/>
          </w:tcPr>
          <w:p>
            <w:r/>
            <w:r>
              <w:rPr>
                <w:b w:val="0"/>
                <w:sz w:val="19"/>
              </w:rPr>
              <w:t>Comcast ~54% of FY25; ~20%+ crashes on MSO timing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Margins</w:t>
            </w:r>
          </w:p>
        </w:tc>
        <w:tc>
          <w:tcPr>
            <w:tcW w:type="dxa" w:w="3816"/>
          </w:tcPr>
          <w:p>
            <w:r/>
            <w:r>
              <w:rPr>
                <w:b w:val="0"/>
                <w:sz w:val="19"/>
              </w:rPr>
              <w:t>Volume leverage; software mix; FCF strong</w:t>
            </w:r>
          </w:p>
        </w:tc>
        <w:tc>
          <w:tcPr>
            <w:tcW w:type="dxa" w:w="3816"/>
          </w:tcPr>
          <w:p>
            <w:r/>
            <w:r>
              <w:rPr>
                <w:b w:val="0"/>
                <w:sz w:val="19"/>
              </w:rPr>
              <w:t>2026 GM compresses on memory/tariffs/ramp</w:t>
            </w:r>
          </w:p>
        </w:tc>
      </w:tr>
      <w:tr>
        <w:tc>
          <w:tcPr>
            <w:tcW w:type="dxa" w:w="1728"/>
            <w:shd w:val="clear" w:color="auto" w:fill="F0F3F7"/>
          </w:tcPr>
          <w:p>
            <w:r/>
            <w:r>
              <w:rPr>
                <w:b w:val="0"/>
                <w:sz w:val="19"/>
              </w:rPr>
              <w:t>Portfolio</w:t>
            </w:r>
          </w:p>
        </w:tc>
        <w:tc>
          <w:tcPr>
            <w:tcW w:type="dxa" w:w="3816"/>
            <w:shd w:val="clear" w:color="auto" w:fill="F0F3F7"/>
          </w:tcPr>
          <w:p>
            <w:r/>
            <w:r>
              <w:rPr>
                <w:b w:val="0"/>
                <w:sz w:val="19"/>
              </w:rPr>
              <w:t>Video sale = clean pure-play + $145M cash</w:t>
            </w:r>
          </w:p>
        </w:tc>
        <w:tc>
          <w:tcPr>
            <w:tcW w:type="dxa" w:w="3816"/>
            <w:shd w:val="clear" w:color="auto" w:fill="F0F3F7"/>
          </w:tcPr>
          <w:p>
            <w:r/>
            <w:r>
              <w:rPr>
                <w:b w:val="0"/>
                <w:sz w:val="19"/>
              </w:rPr>
              <w:t>Sale not closed; ~$10M stranded costs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Competition</w:t>
            </w:r>
          </w:p>
        </w:tc>
        <w:tc>
          <w:tcPr>
            <w:tcW w:type="dxa" w:w="3816"/>
          </w:tcPr>
          <w:p>
            <w:r/>
            <w:r>
              <w:rPr>
                <w:b w:val="0"/>
                <w:sz w:val="19"/>
              </w:rPr>
              <w:t>vCMTS leader; unified D4.0 + fiber on one platform</w:t>
            </w:r>
          </w:p>
        </w:tc>
        <w:tc>
          <w:tcPr>
            <w:tcW w:type="dxa" w:w="3816"/>
          </w:tcPr>
          <w:p>
            <w:r/>
            <w:r>
              <w:rPr>
                <w:b w:val="0"/>
                <w:sz w:val="19"/>
              </w:rPr>
              <w:t>CommScope (Casa)/Vecima scaling; Comcast RPD share loss</w:t>
            </w:r>
          </w:p>
        </w:tc>
      </w:tr>
      <w:tr>
        <w:tc>
          <w:tcPr>
            <w:tcW w:type="dxa" w:w="1728"/>
            <w:shd w:val="clear" w:color="auto" w:fill="F0F3F7"/>
          </w:tcPr>
          <w:p>
            <w:r/>
            <w:r>
              <w:rPr>
                <w:b w:val="0"/>
                <w:sz w:val="19"/>
              </w:rPr>
              <w:t>AI exposure</w:t>
            </w:r>
          </w:p>
        </w:tc>
        <w:tc>
          <w:tcPr>
            <w:tcW w:type="dxa" w:w="3816"/>
            <w:shd w:val="clear" w:color="auto" w:fill="F0F3F7"/>
          </w:tcPr>
          <w:p>
            <w:r/>
            <w:r>
              <w:rPr>
                <w:b w:val="0"/>
                <w:sz w:val="19"/>
              </w:rPr>
              <w:t>AI network-ops software optionality; bandwidth tailwind</w:t>
            </w:r>
          </w:p>
        </w:tc>
        <w:tc>
          <w:tcPr>
            <w:tcW w:type="dxa" w:w="3816"/>
            <w:shd w:val="clear" w:color="auto" w:fill="F0F3F7"/>
          </w:tcPr>
          <w:p>
            <w:r/>
            <w:r>
              <w:rPr>
                <w:b w:val="0"/>
                <w:sz w:val="19"/>
              </w:rPr>
              <w:t>~0% direct AI rev; AI-native assets being sold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Valuation</w:t>
            </w:r>
          </w:p>
        </w:tc>
        <w:tc>
          <w:tcPr>
            <w:tcW w:type="dxa" w:w="3816"/>
          </w:tcPr>
          <w:p>
            <w:r/>
            <w:r>
              <w:rPr>
                <w:b w:val="0"/>
                <w:sz w:val="19"/>
              </w:rPr>
              <w:t>Pure-play grower should re-rate higher</w:t>
            </w:r>
          </w:p>
        </w:tc>
        <w:tc>
          <w:tcPr>
            <w:tcW w:type="dxa" w:w="3816"/>
          </w:tcPr>
          <w:p>
            <w:r/>
            <w:r>
              <w:rPr>
                <w:b w:val="0"/>
                <w:sz w:val="19"/>
              </w:rPr>
              <w:t>Near targets after +34% run; high-20s fwd P/E</w:t>
            </w:r>
          </w:p>
        </w:tc>
      </w:tr>
    </w:tbl>
    <w:p>
      <w:pPr>
        <w:spacing w:before="200" w:after="80"/>
      </w:pPr>
      <w:r>
        <w:rPr>
          <w:b/>
          <w:color w:val="1B7A3D"/>
          <w:sz w:val="25"/>
        </w:rPr>
        <w:t>What would make the bull case</w:t>
      </w:r>
    </w:p>
    <w:p>
      <w:pPr>
        <w:pStyle w:val="ListBullet"/>
      </w:pPr>
      <w:r>
        <w:t>Video sale closes cleanly + proceeds go to buybacks; Q2/Q3 confirm the D4.0 ramp is durable and broad-based (not just Comcast).</w:t>
      </w:r>
    </w:p>
    <w:p>
      <w:pPr>
        <w:pStyle w:val="ListBullet"/>
      </w:pPr>
      <w:r>
        <w:t>Rest-of-Market keeps compounding (concentration structurally falls); software/AI-ops attach starts showing in revenue.</w:t>
      </w:r>
    </w:p>
    <w:p>
      <w:pPr>
        <w:pStyle w:val="ListBullet"/>
      </w:pPr>
      <w:r>
        <w:t>Margins hold up through the memory-cost headwind on volume leverage.</w:t>
      </w:r>
    </w:p>
    <w:p>
      <w:pPr>
        <w:spacing w:before="200" w:after="80"/>
      </w:pPr>
      <w:r>
        <w:rPr>
          <w:b/>
          <w:color w:val="A32A2A"/>
          <w:sz w:val="25"/>
        </w:rPr>
        <w:t>What would break it</w:t>
      </w:r>
    </w:p>
    <w:p>
      <w:pPr>
        <w:pStyle w:val="ListBullet"/>
      </w:pPr>
      <w:r>
        <w:t>A Comcast or Charter deployment pause/air-pocket — the proven failure mode that has crashed the stock before.</w:t>
      </w:r>
    </w:p>
    <w:p>
      <w:pPr>
        <w:pStyle w:val="ListBullet"/>
      </w:pPr>
      <w:r>
        <w:t>CommScope/Vecima win meaningful vCMTS share; D4.0 cadence slips again.</w:t>
      </w:r>
    </w:p>
    <w:p>
      <w:pPr>
        <w:pStyle w:val="ListBullet"/>
      </w:pPr>
      <w:r>
        <w:t>Video deal delays/breaks; multiple compresses from the highs as the lumpy revenue reverts.</w:t>
      </w:r>
    </w:p>
    <w:p>
      <w:pPr>
        <w:pBdr>
          <w:bottom w:val="single" w:sz="6" w:space="4" w:color="1A5C97"/>
        </w:pBdr>
        <w:spacing w:before="320" w:after="160"/>
      </w:pPr>
      <w:r>
        <w:rPr>
          <w:b/>
          <w:color w:val="1F2A44"/>
          <w:sz w:val="32"/>
        </w:rPr>
        <w:t>9.  Sourcing, Confidence &amp; Caveats</w:t>
      </w:r>
    </w:p>
    <w:p>
      <w:pPr>
        <w:pBdr>
          <w:left w:val="single" w:sz="24" w:space="8" w:color="1F2A44"/>
        </w:pBdr>
        <w:spacing w:before="120" w:after="160"/>
        <w:ind w:left="216"/>
      </w:pPr>
      <w:r>
        <w:rPr>
          <w:b/>
          <w:color w:val="1F2A44"/>
          <w:sz w:val="21"/>
        </w:rPr>
        <w:t xml:space="preserve">DATA-QUALITY NOTE:  </w:t>
      </w:r>
      <w:r>
        <w:rPr>
          <w:sz w:val="21"/>
        </w:rPr>
        <w:t>This report synthesizes web-search extracts of primary sources (SEC 10-K/10-Q/8-K, PRNewswire releases, earnings-call transcripts, Light Reading, and financial aggregators). Direct page-fetching of SEC.gov, PRNewswire, StockTitan and similar was blocked (HTTP 403) during research, so figures were corroborated across multiple secondary extracts rather than read line-by-line from filings. Note the continuing-ops vs combined revenue bases, the Q1 broadband ($121.7M) vs total-incl-discontinued ($171.8M) figures, and confirm exact EPS/margins, convertible-note balance, and the Q2 earnings date against the primary filings before acting.</w:t>
      </w:r>
    </w:p>
    <w:p>
      <w:pPr>
        <w:spacing w:before="200" w:after="80"/>
      </w:pPr>
      <w:r>
        <w:rPr>
          <w:b/>
          <w:color w:val="1F2A44"/>
          <w:sz w:val="25"/>
        </w:rPr>
        <w:t>Key primary sources</w:t>
      </w:r>
    </w:p>
    <w:p>
      <w:pPr>
        <w:pStyle w:val="ListBullet"/>
      </w:pPr>
      <w:r>
        <w:rPr>
          <w:sz w:val="18"/>
        </w:rPr>
        <w:t>HLIT FY2025 10-K (year ended Dec 31, 2025) — sec.gov/Archives/edgar/data/0000851310/000119312526067506/hlit-20251231.htm</w:t>
      </w:r>
    </w:p>
    <w:p>
      <w:pPr>
        <w:pStyle w:val="ListBullet"/>
      </w:pPr>
      <w:r>
        <w:rPr>
          <w:sz w:val="18"/>
        </w:rPr>
        <w:t>HLIT Q1 FY2026 8-K &amp; 10-Q (qtr ended Apr 3, 2026) — sec.gov .../000119312526216776/hlit-ex99_1.htm; .../000119312526221899/hlit-20260403.htm</w:t>
      </w:r>
    </w:p>
    <w:p>
      <w:pPr>
        <w:pStyle w:val="ListBullet"/>
      </w:pPr>
      <w:r>
        <w:rPr>
          <w:sz w:val="18"/>
        </w:rPr>
        <w:t>Q1 FY2026 results press release (May 11, 2026) — prnewswire.com .../first-quarter-2026-results-302768183</w:t>
      </w:r>
    </w:p>
    <w:p>
      <w:pPr>
        <w:pStyle w:val="ListBullet"/>
      </w:pPr>
      <w:r>
        <w:rPr>
          <w:sz w:val="18"/>
        </w:rPr>
        <w:t>Q4 FY2025 / full-year results (Apr 2026) — prnewswire.com .../fourth-quarter-and-fiscal-2025-results-302693027</w:t>
      </w:r>
    </w:p>
    <w:p>
      <w:pPr>
        <w:pStyle w:val="ListBullet"/>
      </w:pPr>
      <w:r>
        <w:rPr>
          <w:sz w:val="18"/>
        </w:rPr>
        <w:t>Video sale to MediaKind / Leone Media ($145M) — prnewswire.com .../video-business-to-mediakind-302635321; broadbandtvnews.com (Dec 8, 2025)</w:t>
      </w:r>
    </w:p>
    <w:p>
      <w:pPr>
        <w:pStyle w:val="ListBullet"/>
      </w:pPr>
      <w:r>
        <w:rPr>
          <w:sz w:val="18"/>
        </w:rPr>
        <w:t>DOCSIS 4.0 / 2026 outlook &amp; pure-play pivot — lightreading.com (unified DOCSIS 4.0; "cut the video cord")</w:t>
      </w:r>
    </w:p>
    <w:p>
      <w:pPr>
        <w:pStyle w:val="ListBullet"/>
      </w:pPr>
      <w:r>
        <w:rPr>
          <w:sz w:val="18"/>
        </w:rPr>
        <w:t>Comcast / Charter deployments — lightreading.com ("Comcast ready to hit the accelerator"; "bigger piece of Charter")</w:t>
      </w:r>
    </w:p>
    <w:p>
      <w:pPr>
        <w:pStyle w:val="ListBullet"/>
      </w:pPr>
      <w:r>
        <w:rPr>
          <w:sz w:val="18"/>
        </w:rPr>
        <w:t>vCMTS competition (CommScope/Casa, Vecima) — delloro.com; nexttv.com</w:t>
      </w:r>
    </w:p>
    <w:p>
      <w:pPr>
        <w:pStyle w:val="ListBullet"/>
      </w:pPr>
      <w:r>
        <w:rPr>
          <w:sz w:val="18"/>
        </w:rPr>
        <w:t>Feb-2025 guidance cut / ~21% drop — lightreading.com; investing.com</w:t>
      </w:r>
    </w:p>
    <w:p>
      <w:pPr>
        <w:pStyle w:val="ListBullet"/>
      </w:pPr>
      <w:r>
        <w:rPr>
          <w:sz w:val="18"/>
        </w:rPr>
        <w:t>AI network-ops (Central/sensAI/Beacon) &amp; ANGA COM 2026 — harmonicinc.com; prnewswire.com (ANGA COM 2026)</w:t>
      </w:r>
    </w:p>
    <w:p>
      <w:pPr>
        <w:pStyle w:val="ListBullet"/>
      </w:pPr>
      <w:r>
        <w:rPr>
          <w:sz w:val="18"/>
        </w:rPr>
        <w:t>VOS360 AI features / AI Orchestration (being divested) — prnewswire.com; advanced-television.com; sportsvideo.org</w:t>
      </w:r>
    </w:p>
    <w:p>
      <w:pPr>
        <w:pStyle w:val="ListBullet"/>
      </w:pPr>
      <w:r>
        <w:rPr>
          <w:sz w:val="18"/>
        </w:rPr>
        <w:t>Activist involvement (Ancora; Romanesque) — bloomberg.com (Nov 18, 2024); stocktitan.net</w:t>
      </w:r>
    </w:p>
    <w:p>
      <w:pPr>
        <w:pStyle w:val="ListBullet"/>
      </w:pPr>
      <w:r>
        <w:rPr>
          <w:sz w:val="18"/>
        </w:rPr>
        <w:t>Buyback, Fiber Connect 2026 portfolio, izzi win — prnewswire.com (fiber-connect-2026-302758517)</w:t>
      </w:r>
    </w:p>
    <w:p>
      <w:pPr>
        <w:pStyle w:val="ListBullet"/>
      </w:pPr>
      <w:r>
        <w:rPr>
          <w:sz w:val="18"/>
        </w:rPr>
        <w:t>Analyst targets/ratings, price &amp; valuation — marketbeat.com; public.com; stockanalysis.com; benzinga.com</w:t>
      </w:r>
    </w:p>
    <w:p/>
    <w:p>
      <w:r>
        <w:rPr>
          <w:i/>
          <w:color w:val="888888"/>
          <w:sz w:val="17"/>
        </w:rPr>
        <w:t>Disclaimer: This document is a research synthesis prepared for educational and informational purposes only. It is not investment advice, an offer, or a solicitation to buy or sell any security. Figures are drawn from secondary extracts of public sources and may contain errors; verify against primary filings. Do your own due diligence.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