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40"/>
        <w:jc w:val="center"/>
      </w:pPr>
      <w:r>
        <w:rPr>
          <w:b/>
          <w:color w:val="1F2A44"/>
          <w:sz w:val="56"/>
        </w:rPr>
        <w:t>Richardson Electronics, Ltd.</w:t>
      </w:r>
    </w:p>
    <w:p>
      <w:pPr>
        <w:spacing w:after="360"/>
        <w:jc w:val="center"/>
      </w:pPr>
      <w:r>
        <w:rPr>
          <w:b/>
          <w:color w:val="1A5C97"/>
          <w:sz w:val="30"/>
        </w:rPr>
        <w:t>NASDAQ: RELL</w:t>
      </w:r>
    </w:p>
    <w:p>
      <w:pPr>
        <w:spacing w:after="800"/>
        <w:jc w:val="center"/>
      </w:pPr>
      <w:r>
        <w:rPr>
          <w:i/>
          <w:color w:val="555555"/>
          <w:sz w:val="28"/>
        </w:rPr>
        <w:t>An Ultra Deep Dive: Bull Case, Bear Case, Near-Term Catalysts,</w:t>
        <w:br/>
        <w:t>and the AI / 800V Power Secular Tailwind</w:t>
      </w:r>
    </w:p>
    <w:p>
      <w:pPr>
        <w:spacing w:before="200" w:after="80"/>
      </w:pPr>
      <w:r>
        <w:rPr>
          <w:b/>
          <w:color w:val="1A5C97"/>
          <w:sz w:val="25"/>
        </w:rPr>
        <w:t>Snapshot — as of late May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5904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Share price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>~$17.14 (May 28, 2026)</w:t>
            </w:r>
          </w:p>
        </w:tc>
      </w:tr>
      <w:tr>
        <w:tc>
          <w:tcPr>
            <w:tcW w:type="dxa" w:w="3456"/>
            <w:shd w:val="clear" w:color="auto" w:fill="F0F3F7"/>
          </w:tcPr>
          <w:p>
            <w:r/>
            <w:r>
              <w:rPr>
                <w:b w:val="0"/>
                <w:sz w:val="19"/>
              </w:rPr>
              <w:t>Market capitalization</w:t>
            </w:r>
          </w:p>
        </w:tc>
        <w:tc>
          <w:tcPr>
            <w:tcW w:type="dxa" w:w="5904"/>
            <w:shd w:val="clear" w:color="auto" w:fill="F0F3F7"/>
          </w:tcPr>
          <w:p>
            <w:r/>
            <w:r>
              <w:rPr>
                <w:b w:val="0"/>
                <w:sz w:val="19"/>
              </w:rPr>
              <w:t>~$246 million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52-week range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>$8.66 – $19.86</w:t>
            </w:r>
          </w:p>
        </w:tc>
      </w:tr>
      <w:tr>
        <w:tc>
          <w:tcPr>
            <w:tcW w:type="dxa" w:w="3456"/>
            <w:shd w:val="clear" w:color="auto" w:fill="F0F3F7"/>
          </w:tcPr>
          <w:p>
            <w:r/>
            <w:r>
              <w:rPr>
                <w:b w:val="0"/>
                <w:sz w:val="19"/>
              </w:rPr>
              <w:t>Shares outstanding (common)</w:t>
            </w:r>
          </w:p>
        </w:tc>
        <w:tc>
          <w:tcPr>
            <w:tcW w:type="dxa" w:w="5904"/>
            <w:shd w:val="clear" w:color="auto" w:fill="F0F3F7"/>
          </w:tcPr>
          <w:p>
            <w:r/>
            <w:r>
              <w:rPr>
                <w:b w:val="0"/>
                <w:sz w:val="19"/>
              </w:rPr>
              <w:t>~14.6 million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Debt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>None — zero borrowings ($20M revolver undrawn)</w:t>
            </w:r>
          </w:p>
        </w:tc>
      </w:tr>
      <w:tr>
        <w:tc>
          <w:tcPr>
            <w:tcW w:type="dxa" w:w="3456"/>
            <w:shd w:val="clear" w:color="auto" w:fill="F0F3F7"/>
          </w:tcPr>
          <w:p>
            <w:r/>
            <w:r>
              <w:rPr>
                <w:b w:val="0"/>
                <w:sz w:val="19"/>
              </w:rPr>
              <w:t>Cash &amp; equivalents</w:t>
            </w:r>
          </w:p>
        </w:tc>
        <w:tc>
          <w:tcPr>
            <w:tcW w:type="dxa" w:w="5904"/>
            <w:shd w:val="clear" w:color="auto" w:fill="F0F3F7"/>
          </w:tcPr>
          <w:p>
            <w:r/>
            <w:r>
              <w:rPr>
                <w:b w:val="0"/>
                <w:sz w:val="19"/>
              </w:rPr>
              <w:t>~$29.5M (Feb 28, 2026)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TTM revenue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>~$209 million</w:t>
            </w:r>
          </w:p>
        </w:tc>
      </w:tr>
      <w:tr>
        <w:tc>
          <w:tcPr>
            <w:tcW w:type="dxa" w:w="3456"/>
            <w:shd w:val="clear" w:color="auto" w:fill="F0F3F7"/>
          </w:tcPr>
          <w:p>
            <w:r/>
            <w:r>
              <w:rPr>
                <w:b w:val="0"/>
                <w:sz w:val="19"/>
              </w:rPr>
              <w:t>Dividend</w:t>
            </w:r>
          </w:p>
        </w:tc>
        <w:tc>
          <w:tcPr>
            <w:tcW w:type="dxa" w:w="5904"/>
            <w:shd w:val="clear" w:color="auto" w:fill="F0F3F7"/>
          </w:tcPr>
          <w:p>
            <w:r/>
            <w:r>
              <w:rPr>
                <w:b w:val="0"/>
                <w:sz w:val="19"/>
              </w:rPr>
              <w:t>$0.06/qtr ($0.24/yr); ~1.4% yield; 38 consecutive years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Valuation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>~52–64x trailing P/E; ~24x EV/EBITDA; ~1.2x P/S</w:t>
            </w:r>
          </w:p>
        </w:tc>
      </w:tr>
      <w:tr>
        <w:tc>
          <w:tcPr>
            <w:tcW w:type="dxa" w:w="3456"/>
            <w:shd w:val="clear" w:color="auto" w:fill="F0F3F7"/>
          </w:tcPr>
          <w:p>
            <w:r/>
            <w:r>
              <w:rPr>
                <w:b w:val="0"/>
                <w:sz w:val="19"/>
              </w:rPr>
              <w:t>Reportable segments</w:t>
            </w:r>
          </w:p>
        </w:tc>
        <w:tc>
          <w:tcPr>
            <w:tcW w:type="dxa" w:w="5904"/>
            <w:shd w:val="clear" w:color="auto" w:fill="F0F3F7"/>
          </w:tcPr>
          <w:p>
            <w:r/>
            <w:r>
              <w:rPr>
                <w:b w:val="0"/>
                <w:sz w:val="19"/>
              </w:rPr>
              <w:t>PMT, GES, Canvys (Healthcare divested Jan 2025)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Total backlog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>$151.2M — ~3-year high (Feb 28, 2026)</w:t>
            </w:r>
          </w:p>
        </w:tc>
      </w:tr>
      <w:tr>
        <w:tc>
          <w:tcPr>
            <w:tcW w:type="dxa" w:w="3456"/>
            <w:shd w:val="clear" w:color="auto" w:fill="F0F3F7"/>
          </w:tcPr>
          <w:p>
            <w:r/>
            <w:r>
              <w:rPr>
                <w:b w:val="0"/>
                <w:sz w:val="19"/>
              </w:rPr>
              <w:t>Recent strategic deals</w:t>
            </w:r>
          </w:p>
        </w:tc>
        <w:tc>
          <w:tcPr>
            <w:tcW w:type="dxa" w:w="5904"/>
            <w:shd w:val="clear" w:color="auto" w:fill="F0F3F7"/>
          </w:tcPr>
          <w:p>
            <w:r/>
            <w:r>
              <w:rPr>
                <w:b w:val="0"/>
                <w:sz w:val="19"/>
              </w:rPr>
              <w:t>Gotion BESS (May 13) and NoMIS Power SiC (May 20, 2026)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Sell-side rating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>Hold (Northland PT $14; stock trades above it)</w:t>
            </w:r>
          </w:p>
        </w:tc>
      </w:tr>
    </w:tbl>
    <w:p>
      <w:pPr>
        <w:jc w:val="center"/>
      </w:pPr>
      <w:r>
        <w:rPr>
          <w:i/>
          <w:color w:val="888888"/>
          <w:sz w:val="18"/>
        </w:rPr>
        <w:br/>
        <w:t>Prepared May 29, 2026  •  Research &amp; educational use only — not investment advice</w:t>
      </w:r>
    </w:p>
    <w:p>
      <w:r>
        <w:br w:type="page"/>
      </w:r>
    </w:p>
    <w:p>
      <w:pPr>
        <w:pBdr>
          <w:bottom w:val="single" w:sz="6" w:space="4" w:color="1A5C97"/>
        </w:pBdr>
        <w:spacing w:before="320" w:after="160"/>
      </w:pPr>
      <w:r>
        <w:rPr>
          <w:b/>
          <w:color w:val="1F2A44"/>
          <w:sz w:val="32"/>
        </w:rPr>
        <w:t>1.  Executive Summary</w:t>
      </w:r>
    </w:p>
    <w:p>
      <w:r>
        <w:rPr>
          <w:i w:val="0"/>
          <w:sz w:val="21"/>
        </w:rPr>
        <w:t>Richardson Electronics is a 75-year-old, founder-controlled microcap (~$246M market cap) that has reinvented itself from a legacy electron-tube distributor into a niche "engineered solutions" provider spanning three segments: Power &amp; Microwave Technologies (PMT), Green Energy Solutions (GES), and Canvys (custom displays). After a brutal FY2024 — revenue fell 25% on a semiconductor-equipment downturn — the company has now strung together seven consecutive quarters of year-over-year sales growth, returned to GAAP profitability, and built backlog to a roughly three-year high of $151.2M.</w:t>
      </w:r>
    </w:p>
    <w:p>
      <w:pPr>
        <w:pBdr>
          <w:left w:val="single" w:sz="24" w:space="8" w:color="1A5C97"/>
        </w:pBdr>
        <w:spacing w:before="120" w:after="160"/>
        <w:ind w:left="216"/>
      </w:pPr>
      <w:r>
        <w:rPr>
          <w:b/>
          <w:color w:val="1A5C97"/>
          <w:sz w:val="21"/>
        </w:rPr>
        <w:t xml:space="preserve">THE SETUP:  </w:t>
      </w:r>
      <w:r>
        <w:rPr>
          <w:sz w:val="21"/>
        </w:rPr>
        <w:t>A debt-free, dividend-paying recovery story riding a genuine semiconductor wafer-fab equipment upcycle, wrapped in an AI / power-electronics narrative — reinforced by two May 2026 partnerships (Gotion BESS and NoMIS Power SiC) — that has roughly doubled the stock off its 52-week low, leaving valuation rich (~50–60x earnings) and trading above the lone published analyst target.</w:t>
      </w:r>
    </w:p>
    <w:p>
      <w:pPr>
        <w:spacing w:before="200" w:after="80"/>
      </w:pPr>
      <w:r>
        <w:rPr>
          <w:b/>
          <w:color w:val="1B7A3D"/>
          <w:sz w:val="25"/>
        </w:rPr>
        <w:t>The bull case in one paragraph</w:t>
      </w:r>
    </w:p>
    <w:p>
      <w:r>
        <w:rPr>
          <w:i w:val="0"/>
          <w:sz w:val="21"/>
        </w:rPr>
        <w:t>PMT is re-accelerating (+14.5% ex-Healthcare in Q3 FY26) as semiconductor wafer-fab equipment demand recovers, fueled by AI-driven memory capex at its largest customer, Lam Research. Margins are expanding as the mix shifts toward proprietary engineered products. GES owns a real, patented wind-turbine ultracapacitor franchise (55,000+ modules installed; GE Vernova exclusivity) and is opening new adjacencies in U.S.-made battery energy storage (Gotion) and medium-/high-voltage silicon carbide for the power-electronics build-out (NoMIS, Navitas). The balance sheet is pristine — no debt, ~$29.5M cash, 38 straight years of dividends — giving downside protection and optionality on the recovery.</w:t>
      </w:r>
    </w:p>
    <w:p>
      <w:pPr>
        <w:spacing w:before="200" w:after="80"/>
      </w:pPr>
      <w:r>
        <w:rPr>
          <w:b/>
          <w:color w:val="A32A2A"/>
          <w:sz w:val="25"/>
        </w:rPr>
        <w:t>The bear case in one paragraph</w:t>
      </w:r>
    </w:p>
    <w:p>
      <w:r>
        <w:rPr>
          <w:i w:val="0"/>
          <w:sz w:val="21"/>
        </w:rPr>
        <w:t>The same wafer-fab end-market that is now the growth engine caused a 25% revenue collapse just two years ago — cyclicality is proven, not theoretical — and demand concentrates in one customer (Lam). The company is sub-scale with thin, lumpy margins (TTM net income only ~$0.2M) and recent quarters have dipped into losses. Valuation is stretched after a +70% AI-themed rally on ~$0.01 TTM EPS, and the new SiC/BESS deals are partnership announcements with no disclosed revenue. Governance is a real concern: an 83-year-old founder-CEO controls ~63% of the vote via 10:1 super-voting shares, there is documented past related-party litigation, and the capital-allocation history includes a multi-year, money-losing healthcare build-out sold in 2025 at a ~$4.9M loss.</w:t>
      </w:r>
    </w:p>
    <w:p>
      <w:pPr>
        <w:spacing w:before="200" w:after="80"/>
      </w:pPr>
      <w:r>
        <w:rPr>
          <w:b/>
          <w:color w:val="1F2A44"/>
          <w:sz w:val="25"/>
        </w:rPr>
        <w:t>Verdict</w:t>
      </w:r>
    </w:p>
    <w:p>
      <w:r>
        <w:rPr>
          <w:i w:val="0"/>
          <w:sz w:val="21"/>
        </w:rPr>
        <w:t>RELL is a high-quality, conservatively financed small-cap with a legitimate — but second-derivative and partial — exposure to the AI / power-electronics capex supercycle. The operational inflection is real and well-substantiated; the valuation already prices much of it in, and the most exciting "AI grid power / 800V / BESS" narratives are still optionality rather than booked revenue. It screens as a "buy-the-dip / own-the-cycle" name rather than a momentum chase at 52-week highs.</w:t>
      </w:r>
    </w:p>
    <w:p>
      <w:pPr>
        <w:pBdr>
          <w:bottom w:val="single" w:sz="6" w:space="4" w:color="1A5C97"/>
        </w:pBdr>
        <w:spacing w:before="320" w:after="160"/>
      </w:pPr>
      <w:r>
        <w:rPr>
          <w:b/>
          <w:color w:val="1F2A44"/>
          <w:sz w:val="32"/>
        </w:rPr>
        <w:t>2.  Company Overview &amp; Business Segments</w:t>
      </w:r>
    </w:p>
    <w:p>
      <w:r>
        <w:rPr>
          <w:i w:val="0"/>
          <w:sz w:val="21"/>
        </w:rPr>
        <w:t>Founded in 1947 and headquartered in La Fox, Illinois, Richardson Electronics is a global provider of engineered solutions, power-grid and microwave tubes and related consumables, power-conversion and RF/microwave components, and customized displays. It serves alternative energy, aviation, broadcast, communications, healthcare, industrial, marine, military, scientific, and — critically — semiconductor markets.</w:t>
      </w:r>
    </w:p>
    <w:p>
      <w:pPr>
        <w:pBdr>
          <w:left w:val="single" w:sz="24" w:space="8" w:color="1F2A44"/>
        </w:pBdr>
        <w:spacing w:before="120" w:after="160"/>
        <w:ind w:left="216"/>
      </w:pPr>
      <w:r>
        <w:rPr>
          <w:b/>
          <w:color w:val="1F2A44"/>
          <w:sz w:val="21"/>
        </w:rPr>
        <w:t xml:space="preserve">STRUCTURAL CHANGE:  </w:t>
      </w:r>
      <w:r>
        <w:rPr>
          <w:sz w:val="21"/>
        </w:rPr>
        <w:t>In January 2025 RELL sold the majority of its Richardson Healthcare assets to DirectMed Imaging and folded the remaining CT X-ray tube manufacturing/repair into PMT. As of FY2026 there are THREE reportable segments (PMT, GES, Canvys); "Healthcare" now appears only in historical comparatives. Many older bull theses built on a standalone healthcare growth engine are therefore stale.</w:t>
      </w:r>
    </w:p>
    <w:p>
      <w:pPr>
        <w:spacing w:before="200" w:after="80"/>
      </w:pPr>
      <w:r>
        <w:rPr>
          <w:b/>
          <w:color w:val="1F2A44"/>
          <w:sz w:val="25"/>
        </w:rPr>
        <w:t>The three segments (with approximate scale)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Segment</w:t>
            </w:r>
          </w:p>
        </w:tc>
        <w:tc>
          <w:tcPr>
            <w:tcW w:type="dxa" w:w="5040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  <w:tc>
          <w:tcPr>
            <w:tcW w:type="dxa" w:w="1296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~% of revenue</w:t>
            </w:r>
          </w:p>
        </w:tc>
        <w:tc>
          <w:tcPr>
            <w:tcW w:type="dxa" w:w="1296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Backlog (Q3 FY26)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PMT — Power &amp; Microwave Technologies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9"/>
              </w:rPr>
              <w:t>Power-grid &amp; microwave tubes (legacy Electron Device Group), RF &amp; microwave components, semiconductor wafer-fab products/consumables, SiC power-device distribution (Navitas, NoMIS), plus absorbed CT X-ray tube mfg/repair. The growth engine.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~66–70%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$75.4M</w:t>
            </w:r>
          </w:p>
        </w:tc>
      </w:tr>
      <w:tr>
        <w:tc>
          <w:tcPr>
            <w:tcW w:type="dxa" w:w="2448"/>
            <w:shd w:val="clear" w:color="auto" w:fill="F0F3F7"/>
          </w:tcPr>
          <w:p>
            <w:r/>
            <w:r>
              <w:rPr>
                <w:b w:val="0"/>
                <w:sz w:val="19"/>
              </w:rPr>
              <w:t>GES — Green Energy Solutions</w:t>
            </w:r>
          </w:p>
        </w:tc>
        <w:tc>
          <w:tcPr>
            <w:tcW w:type="dxa" w:w="5040"/>
            <w:shd w:val="clear" w:color="auto" w:fill="F0F3F7"/>
          </w:tcPr>
          <w:p>
            <w:r/>
            <w:r>
              <w:rPr>
                <w:b w:val="0"/>
                <w:sz w:val="19"/>
              </w:rPr>
              <w:t>Power-management modules, ultracapacitor wind-turbine pitch energy modules (ULTRA3000), energy storage, EV/locomotive starter modules, and emerging battery energy storage systems (BESS).</w:t>
            </w:r>
          </w:p>
        </w:tc>
        <w:tc>
          <w:tcPr>
            <w:tcW w:type="dxa" w:w="1296"/>
            <w:shd w:val="clear" w:color="auto" w:fill="F0F3F7"/>
          </w:tcPr>
          <w:p>
            <w:r/>
            <w:r>
              <w:rPr>
                <w:b w:val="0"/>
                <w:sz w:val="19"/>
              </w:rPr>
              <w:t>~14–16%</w:t>
            </w:r>
          </w:p>
        </w:tc>
        <w:tc>
          <w:tcPr>
            <w:tcW w:type="dxa" w:w="1296"/>
            <w:shd w:val="clear" w:color="auto" w:fill="F0F3F7"/>
          </w:tcPr>
          <w:p>
            <w:r/>
            <w:r>
              <w:rPr>
                <w:b w:val="0"/>
                <w:sz w:val="19"/>
              </w:rPr>
              <w:t>~$40M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Canvys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9"/>
              </w:rPr>
              <w:t>Customized display solutions, mainly for medical/healthcare OEM and industrial markets.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~15%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$38.2M</w:t>
            </w:r>
          </w:p>
        </w:tc>
      </w:tr>
    </w:tbl>
    <w:p>
      <w:r>
        <w:rPr>
          <w:i/>
          <w:color w:val="555555"/>
          <w:sz w:val="19"/>
        </w:rPr>
        <w:t>FY2025 segment revenue (year ended May 31, 2025): PMT ~$137.8M, Canvys ~$33.2M, GES ~$28.7M, plus residual Healthcare. Consolidated FY2025 net sales were $208.9M (+6.3% YoY), with GES the fastest grower (+23.6%).</w:t>
      </w:r>
    </w:p>
    <w:p>
      <w:pPr>
        <w:pBdr>
          <w:bottom w:val="single" w:sz="6" w:space="4" w:color="1A5C97"/>
        </w:pBdr>
        <w:spacing w:before="320" w:after="160"/>
      </w:pPr>
      <w:r>
        <w:rPr>
          <w:b/>
          <w:color w:val="1F2A44"/>
          <w:sz w:val="32"/>
        </w:rPr>
        <w:t>3.  Financial Profile</w:t>
      </w:r>
    </w:p>
    <w:p>
      <w:pPr>
        <w:spacing w:before="200" w:after="80"/>
      </w:pPr>
      <w:r>
        <w:rPr>
          <w:b/>
          <w:color w:val="1F2A44"/>
          <w:sz w:val="25"/>
        </w:rPr>
        <w:t>Quarterly trajectory (FY2026)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Period</w:t>
            </w:r>
          </w:p>
        </w:tc>
        <w:tc>
          <w:tcPr>
            <w:tcW w:type="dxa" w:w="1368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Net sales</w:t>
            </w:r>
          </w:p>
        </w:tc>
        <w:tc>
          <w:tcPr>
            <w:tcW w:type="dxa" w:w="2016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YoY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Gross margin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Operating inc.</w:t>
            </w:r>
          </w:p>
        </w:tc>
        <w:tc>
          <w:tcPr>
            <w:tcW w:type="dxa" w:w="1224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Diluted EPS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Q1 FY26 (Aug 2025)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19"/>
              </w:rPr>
              <w:t>$54.6M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+1.6% (+6.8% ex-HC)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~31%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$1.0M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$0.13</w:t>
            </w:r>
          </w:p>
        </w:tc>
      </w:tr>
      <w:tr>
        <w:tc>
          <w:tcPr>
            <w:tcW w:type="dxa" w:w="2160"/>
            <w:shd w:val="clear" w:color="auto" w:fill="F0F3F7"/>
          </w:tcPr>
          <w:p>
            <w:r/>
            <w:r>
              <w:rPr>
                <w:b w:val="0"/>
                <w:sz w:val="19"/>
              </w:rPr>
              <w:t>Q2 FY26 (Nov 2025)</w:t>
            </w:r>
          </w:p>
        </w:tc>
        <w:tc>
          <w:tcPr>
            <w:tcW w:type="dxa" w:w="1368"/>
            <w:shd w:val="clear" w:color="auto" w:fill="F0F3F7"/>
          </w:tcPr>
          <w:p>
            <w:r/>
            <w:r>
              <w:rPr>
                <w:b w:val="0"/>
                <w:sz w:val="19"/>
              </w:rPr>
              <w:t>$52.3M</w:t>
            </w:r>
          </w:p>
        </w:tc>
        <w:tc>
          <w:tcPr>
            <w:tcW w:type="dxa" w:w="2016"/>
            <w:shd w:val="clear" w:color="auto" w:fill="F0F3F7"/>
          </w:tcPr>
          <w:p>
            <w:r/>
            <w:r>
              <w:rPr>
                <w:b w:val="0"/>
                <w:sz w:val="19"/>
              </w:rPr>
              <w:t>+5.7% (+9.0% ex-HC)</w:t>
            </w:r>
          </w:p>
        </w:tc>
        <w:tc>
          <w:tcPr>
            <w:tcW w:type="dxa" w:w="1440"/>
            <w:shd w:val="clear" w:color="auto" w:fill="F0F3F7"/>
          </w:tcPr>
          <w:p>
            <w:r/>
            <w:r>
              <w:rPr>
                <w:b w:val="0"/>
                <w:sz w:val="19"/>
              </w:rPr>
              <w:t>30.8%</w:t>
            </w:r>
          </w:p>
        </w:tc>
        <w:tc>
          <w:tcPr>
            <w:tcW w:type="dxa" w:w="1440"/>
            <w:shd w:val="clear" w:color="auto" w:fill="F0F3F7"/>
          </w:tcPr>
          <w:p>
            <w:r/>
            <w:r>
              <w:rPr>
                <w:b w:val="0"/>
                <w:sz w:val="19"/>
              </w:rPr>
              <w:t>$0.1M</w:t>
            </w:r>
          </w:p>
        </w:tc>
        <w:tc>
          <w:tcPr>
            <w:tcW w:type="dxa" w:w="1224"/>
            <w:shd w:val="clear" w:color="auto" w:fill="F0F3F7"/>
          </w:tcPr>
          <w:p>
            <w:r/>
            <w:r>
              <w:rPr>
                <w:b w:val="0"/>
                <w:sz w:val="19"/>
              </w:rPr>
              <w:t>$(0.01)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Q3 FY26 (Feb 2026)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19"/>
              </w:rPr>
              <w:t>$55.5M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+3.1% (+6.0% ex-HC)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31.9%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$1.5M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$0.07</w:t>
            </w:r>
          </w:p>
        </w:tc>
      </w:tr>
      <w:tr>
        <w:tc>
          <w:tcPr>
            <w:tcW w:type="dxa" w:w="2160"/>
            <w:shd w:val="clear" w:color="auto" w:fill="F0F3F7"/>
          </w:tcPr>
          <w:p>
            <w:r/>
            <w:r>
              <w:rPr>
                <w:b w:val="0"/>
                <w:sz w:val="19"/>
              </w:rPr>
              <w:t>FY2025 (full year)</w:t>
            </w:r>
          </w:p>
        </w:tc>
        <w:tc>
          <w:tcPr>
            <w:tcW w:type="dxa" w:w="1368"/>
            <w:shd w:val="clear" w:color="auto" w:fill="F0F3F7"/>
          </w:tcPr>
          <w:p>
            <w:r/>
            <w:r>
              <w:rPr>
                <w:b w:val="0"/>
                <w:sz w:val="19"/>
              </w:rPr>
              <w:t>$208.9M</w:t>
            </w:r>
          </w:p>
        </w:tc>
        <w:tc>
          <w:tcPr>
            <w:tcW w:type="dxa" w:w="2016"/>
            <w:shd w:val="clear" w:color="auto" w:fill="F0F3F7"/>
          </w:tcPr>
          <w:p>
            <w:r/>
            <w:r>
              <w:rPr>
                <w:b w:val="0"/>
                <w:sz w:val="19"/>
              </w:rPr>
              <w:t>+6.3%</w:t>
            </w:r>
          </w:p>
        </w:tc>
        <w:tc>
          <w:tcPr>
            <w:tcW w:type="dxa" w:w="1440"/>
            <w:shd w:val="clear" w:color="auto" w:fill="F0F3F7"/>
          </w:tcPr>
          <w:p>
            <w:r/>
            <w:r>
              <w:rPr>
                <w:b w:val="0"/>
                <w:sz w:val="19"/>
              </w:rPr>
              <w:t>31.6%</w:t>
            </w:r>
          </w:p>
        </w:tc>
        <w:tc>
          <w:tcPr>
            <w:tcW w:type="dxa" w:w="1440"/>
            <w:shd w:val="clear" w:color="auto" w:fill="F0F3F7"/>
          </w:tcPr>
          <w:p>
            <w:r/>
            <w:r>
              <w:rPr>
                <w:b w:val="0"/>
                <w:sz w:val="19"/>
              </w:rPr>
              <w:t>$(2.5)M*</w:t>
            </w:r>
          </w:p>
        </w:tc>
        <w:tc>
          <w:tcPr>
            <w:tcW w:type="dxa" w:w="1224"/>
            <w:shd w:val="clear" w:color="auto" w:fill="F0F3F7"/>
          </w:tcPr>
          <w:p>
            <w:r/>
            <w:r>
              <w:rPr>
                <w:b w:val="0"/>
                <w:sz w:val="19"/>
              </w:rPr>
              <w:t>net loss*</w:t>
            </w:r>
          </w:p>
        </w:tc>
      </w:tr>
    </w:tbl>
    <w:p>
      <w:r>
        <w:rPr>
          <w:i/>
          <w:color w:val="555555"/>
          <w:sz w:val="19"/>
        </w:rPr>
        <w:t>*FY2025 GAAP operating and net results were depressed by ~$4.9–5.1M of loss/charges tied to the Healthcare divestiture; non-GAAP net income was ~$3.2M. Exact full-year GAAP per-share figure should be confirmed in the 10-K. Note the lumpiness: EPS ran $0.13 → $(0.01) → $0.07 across three consecutive quarters.</w:t>
      </w:r>
    </w:p>
    <w:p>
      <w:pPr>
        <w:spacing w:before="200" w:after="80"/>
      </w:pPr>
      <w:r>
        <w:rPr>
          <w:b/>
          <w:color w:val="1F2A44"/>
          <w:sz w:val="25"/>
        </w:rPr>
        <w:t>Balance sheet &amp; capital return — the safety anchor</w:t>
      </w:r>
    </w:p>
    <w:p>
      <w:pPr>
        <w:pStyle w:val="ListBullet"/>
      </w:pPr>
      <w:r>
        <w:rPr>
          <w:b/>
        </w:rPr>
        <w:t xml:space="preserve">Debt-free: </w:t>
      </w:r>
      <w:r>
        <w:t>zero bank debt; $20M revolving facility completely undrawn. RELL is famously debt-free.</w:t>
      </w:r>
    </w:p>
    <w:p>
      <w:pPr>
        <w:pStyle w:val="ListBullet"/>
      </w:pPr>
      <w:r>
        <w:rPr>
          <w:b/>
        </w:rPr>
        <w:t xml:space="preserve">Cash: </w:t>
      </w:r>
      <w:r>
        <w:t>~$29.5M (Feb 2026), down from $36.7M (May 2025) as working capital funds the backlog ramp.</w:t>
      </w:r>
    </w:p>
    <w:p>
      <w:pPr>
        <w:pStyle w:val="ListBullet"/>
      </w:pPr>
      <w:r>
        <w:rPr>
          <w:b/>
        </w:rPr>
        <w:t xml:space="preserve">Dividend: </w:t>
      </w:r>
      <w:r>
        <w:t>$0.06/share quarterly common ($0.054 Class B), ~$0.24/year, ~1.4% yield — paid for 38 consecutive years; ~$3.4M/yr. No active buyback authorization found.</w:t>
      </w:r>
    </w:p>
    <w:p>
      <w:pPr>
        <w:pStyle w:val="ListBullet"/>
      </w:pPr>
      <w:r>
        <w:rPr>
          <w:b/>
        </w:rPr>
        <w:t xml:space="preserve">Insider ownership: </w:t>
      </w:r>
      <w:r>
        <w:t>Insiders/management hold ~32–33% of equity; founder controls the company via super-voting Class B shares.</w:t>
      </w:r>
    </w:p>
    <w:p>
      <w:pPr>
        <w:spacing w:before="200" w:after="80"/>
      </w:pPr>
      <w:r>
        <w:rPr>
          <w:b/>
          <w:color w:val="1F2A44"/>
          <w:sz w:val="25"/>
        </w:rPr>
        <w:t>Management</w:t>
      </w:r>
    </w:p>
    <w:p>
      <w:pPr>
        <w:pStyle w:val="ListBullet"/>
      </w:pPr>
      <w:r>
        <w:rPr>
          <w:b/>
        </w:rPr>
        <w:t xml:space="preserve">Edward J. Richardson: </w:t>
      </w:r>
      <w:r>
        <w:t>Chairman, CEO &amp; President — founder-led; director since 1965; age ~83; controls ~63% of votes via Class B.</w:t>
      </w:r>
    </w:p>
    <w:p>
      <w:pPr>
        <w:pStyle w:val="ListBullet"/>
      </w:pPr>
      <w:r>
        <w:rPr>
          <w:b/>
        </w:rPr>
        <w:t xml:space="preserve">Wendy Diddell: </w:t>
      </w:r>
      <w:r>
        <w:t>EVP &amp; Chief Operating Officer (board member).</w:t>
      </w:r>
    </w:p>
    <w:p>
      <w:pPr>
        <w:pStyle w:val="ListBullet"/>
      </w:pPr>
      <w:r>
        <w:rPr>
          <w:b/>
        </w:rPr>
        <w:t xml:space="preserve">Robert J. Ben: </w:t>
      </w:r>
      <w:r>
        <w:t>EVP, CFO, Chief Accounting Officer &amp; Corporate Secretary.</w:t>
      </w:r>
    </w:p>
    <w:p>
      <w:pPr>
        <w:pStyle w:val="ListBullet"/>
      </w:pPr>
      <w:r>
        <w:rPr>
          <w:b/>
        </w:rPr>
        <w:t xml:space="preserve">Greg Peloquin: </w:t>
      </w:r>
      <w:r>
        <w:t>EVP &amp; GM of PMT and GES — the executive fronting the SiC (NoMIS/Navitas) and green-energy partnerships.</w:t>
      </w:r>
    </w:p>
    <w:p>
      <w:pPr>
        <w:pBdr>
          <w:bottom w:val="single" w:sz="6" w:space="4" w:color="1A5C97"/>
        </w:pBdr>
        <w:spacing w:before="320" w:after="160"/>
      </w:pPr>
      <w:r>
        <w:rPr>
          <w:b/>
          <w:color w:val="1F2A44"/>
          <w:sz w:val="32"/>
        </w:rPr>
        <w:t>4.  The Bull Case</w:t>
      </w:r>
    </w:p>
    <w:p>
      <w:pPr>
        <w:spacing w:before="200" w:after="80"/>
      </w:pPr>
      <w:r>
        <w:rPr>
          <w:b/>
          <w:color w:val="1B7A3D"/>
          <w:sz w:val="25"/>
        </w:rPr>
        <w:t>4.1  A demonstrated operating inflection</w:t>
      </w:r>
    </w:p>
    <w:p>
      <w:pPr>
        <w:pStyle w:val="ListBullet"/>
      </w:pPr>
      <w:r>
        <w:rPr>
          <w:b/>
        </w:rPr>
        <w:t xml:space="preserve">Seven consecutive quarters of YoY sales growth </w:t>
      </w:r>
      <w:r>
        <w:t>through Q3 FY26 — and a return to GAAP profitability (operating income +$1.5M vs. a $2.7M loss a year earlier; net income $0.9M).</w:t>
      </w:r>
    </w:p>
    <w:p>
      <w:pPr>
        <w:pStyle w:val="ListBullet"/>
      </w:pPr>
      <w:r>
        <w:rPr>
          <w:b/>
        </w:rPr>
        <w:t xml:space="preserve">Record backlog of $151.2M </w:t>
      </w:r>
      <w:r>
        <w:t>— a roughly three-year high, up 11.4% sequentially, driven mainly by PMT. Visibility into FY2027 is improving.</w:t>
      </w:r>
    </w:p>
    <w:p>
      <w:pPr>
        <w:pStyle w:val="ListBullet"/>
      </w:pPr>
      <w:r>
        <w:rPr>
          <w:b/>
        </w:rPr>
        <w:t xml:space="preserve">Gross margin expanding </w:t>
      </w:r>
      <w:r>
        <w:t>to 31.9% (from 31.0%); PMT margin expanded to 32.1% from 29.9% on better mix and lower manufacturing under-absorption.</w:t>
      </w:r>
    </w:p>
    <w:p>
      <w:pPr>
        <w:spacing w:before="200" w:after="80"/>
      </w:pPr>
      <w:r>
        <w:rPr>
          <w:b/>
          <w:color w:val="1B7A3D"/>
          <w:sz w:val="25"/>
        </w:rPr>
        <w:t>4.2  PMT — the current growth engine</w:t>
      </w:r>
    </w:p>
    <w:p>
      <w:pPr>
        <w:pStyle w:val="ListBullet"/>
      </w:pPr>
      <w:r>
        <w:t>PMT sales $38.7M in Q3 FY26, +14.5% ex-Healthcare, with a $75.4M backlog.</w:t>
      </w:r>
    </w:p>
    <w:p>
      <w:pPr>
        <w:pStyle w:val="ListBullet"/>
      </w:pPr>
      <w:r>
        <w:t>Semiconductor wafer-fab equipment demand is recovering hard — sales rose ~139% YoY in Q3 FY25 and were guided to exceed $40M for calendar 2025 — "fueled by global AI-related demand."</w:t>
      </w:r>
    </w:p>
    <w:p>
      <w:pPr>
        <w:pStyle w:val="ListBullet"/>
      </w:pPr>
      <w:r>
        <w:t>Diversified RF &amp; microwave demand from SATCOM, radar, aerospace and defense supplements the semi recovery.</w:t>
      </w:r>
    </w:p>
    <w:p>
      <w:pPr>
        <w:spacing w:before="200" w:after="80"/>
      </w:pPr>
      <w:r>
        <w:rPr>
          <w:b/>
          <w:color w:val="1B7A3D"/>
          <w:sz w:val="25"/>
        </w:rPr>
        <w:t>4.3  GES — long-term option value</w:t>
      </w:r>
    </w:p>
    <w:p>
      <w:pPr>
        <w:pStyle w:val="ListBullet"/>
      </w:pPr>
      <w:r>
        <w:rPr>
          <w:b/>
        </w:rPr>
        <w:t xml:space="preserve">Wind franchise: </w:t>
      </w:r>
      <w:r>
        <w:t>Patented ULTRA3000 ultracapacitor Pitch Energy Module replaces lead-acid batteries in wind turbines (15+ year life); 55,000+ modules installed in North America — the largest such retrofit in the region.</w:t>
      </w:r>
    </w:p>
    <w:p>
      <w:pPr>
        <w:pStyle w:val="ListBullet"/>
      </w:pPr>
      <w:r>
        <w:rPr>
          <w:b/>
        </w:rPr>
        <w:t xml:space="preserve">Marquee design win: </w:t>
      </w:r>
      <w:r>
        <w:t>ULTRA3000 selected as the exclusive PEM on GE Vernova's onshore-wind parts marketplace; expanded to five EU turbine platforms (GE, Nordex, Senvion, Alstom, Suzlon).</w:t>
      </w:r>
    </w:p>
    <w:p>
      <w:pPr>
        <w:pStyle w:val="ListBullet"/>
      </w:pPr>
      <w:r>
        <w:rPr>
          <w:b/>
        </w:rPr>
        <w:t xml:space="preserve">New-product engine: </w:t>
      </w:r>
      <w:r>
        <w:t>GES backlog (~$40M) consists entirely of products developed in the last four years — evidence the proprietary product engine is real, not pass-through distribution.</w:t>
      </w:r>
    </w:p>
    <w:p>
      <w:pPr>
        <w:pStyle w:val="ListBullet"/>
      </w:pPr>
      <w:r>
        <w:rPr>
          <w:b/>
        </w:rPr>
        <w:t xml:space="preserve">Adjacencies: </w:t>
      </w:r>
      <w:r>
        <w:t>Locomotive starter-module programs with two of the largest diesel/electric locomotive OEMs; volume shipments beginning.</w:t>
      </w:r>
    </w:p>
    <w:p>
      <w:pPr>
        <w:pStyle w:val="ListBullet"/>
      </w:pPr>
      <w:r>
        <w:rPr>
          <w:b/>
        </w:rPr>
        <w:t xml:space="preserve">New optionality: </w:t>
      </w:r>
      <w:r>
        <w:t>Two May 2026 deals — Gotion (U.S.-made BESS) and NoMIS Power (medium-/high-voltage SiC) — open large new TAMs in grid storage and power electronics (detailed in Section 6.4).</w:t>
      </w:r>
    </w:p>
    <w:p>
      <w:r>
        <w:rPr>
          <w:i/>
          <w:color w:val="555555"/>
          <w:sz w:val="19"/>
        </w:rPr>
        <w:t>Management guides GES to a "Q2-like" (~39%) rebound in Q4 FY26 and double-digit growth into FY2027 — forward-looking, and GES is project-lumpy (it actually fell 5.4% in Q3 FY26 on timing).</w:t>
      </w:r>
    </w:p>
    <w:p>
      <w:pPr>
        <w:spacing w:before="200" w:after="80"/>
      </w:pPr>
      <w:r>
        <w:rPr>
          <w:b/>
          <w:color w:val="1B7A3D"/>
          <w:sz w:val="25"/>
        </w:rPr>
        <w:t>4.4  Distribution → engineered manufacturing transformation</w:t>
      </w:r>
    </w:p>
    <w:p>
      <w:pPr>
        <w:pStyle w:val="ListBullet"/>
      </w:pPr>
      <w:r>
        <w:t>The explicit strategy is to accelerate design-to-production cycles and shift mix toward higher-value, proprietary engineered solutions. The margin expansion and "developed-in-last-4-years" backlog are early evidence it is working.</w:t>
      </w:r>
    </w:p>
    <w:p>
      <w:pPr>
        <w:spacing w:before="200" w:after="80"/>
      </w:pPr>
      <w:r>
        <w:rPr>
          <w:b/>
          <w:color w:val="1B7A3D"/>
          <w:sz w:val="25"/>
        </w:rPr>
        <w:t>4.5  Capital-return &amp; valuation anchor</w:t>
      </w:r>
    </w:p>
    <w:p>
      <w:pPr>
        <w:pStyle w:val="ListBullet"/>
      </w:pPr>
      <w:r>
        <w:t>Debt-free, ~$29.5M net cash, 38-year dividend payer — meaningful downside protection for a microcap, and optionality on the GES/semiconductor recovery, BESS, and SiC power electronics.</w:t>
      </w:r>
    </w:p>
    <w:p>
      <w:pPr>
        <w:pBdr>
          <w:bottom w:val="single" w:sz="6" w:space="4" w:color="1A5C97"/>
        </w:pBdr>
        <w:spacing w:before="320" w:after="160"/>
      </w:pPr>
      <w:r>
        <w:rPr>
          <w:b/>
          <w:color w:val="1F2A44"/>
          <w:sz w:val="32"/>
        </w:rPr>
        <w:t>5.  The Bear Case</w:t>
      </w:r>
    </w:p>
    <w:p>
      <w:pPr>
        <w:spacing w:before="200" w:after="80"/>
      </w:pPr>
      <w:r>
        <w:rPr>
          <w:b/>
          <w:color w:val="A32A2A"/>
          <w:sz w:val="25"/>
        </w:rPr>
        <w:t>5.1  Cyclicality is proven, not theoretical</w:t>
      </w:r>
    </w:p>
    <w:p>
      <w:pPr>
        <w:pStyle w:val="ListBullet"/>
      </w:pPr>
      <w:r>
        <w:t>FY2024 net sales fell 25.2% to $196.5M (from $262.7M) — explicitly blamed on "challenging conditions within our semiconductor wafer fab market" plus GES program delays. GES revenue more than halved (-51%).</w:t>
      </w:r>
    </w:p>
    <w:p>
      <w:pPr>
        <w:pStyle w:val="ListBullet"/>
      </w:pPr>
      <w:r>
        <w:t>The very same wafer-fab end-market is again the primary growth driver — so the next semi-capex downturn would hit the largest segment hardest. Concentration compounds this: Lam Research is the single largest customer.</w:t>
      </w:r>
    </w:p>
    <w:p>
      <w:pPr>
        <w:spacing w:before="200" w:after="80"/>
      </w:pPr>
      <w:r>
        <w:rPr>
          <w:b/>
          <w:color w:val="A32A2A"/>
          <w:sz w:val="25"/>
        </w:rPr>
        <w:t>5.2  Sub-scale, thin and lumpy</w:t>
      </w:r>
    </w:p>
    <w:p>
      <w:pPr>
        <w:pStyle w:val="ListBullet"/>
      </w:pPr>
      <w:r>
        <w:t>~$209M revenue, ~$246M market cap, ~14.6M shares — a true microcap with low operating leverage.</w:t>
      </w:r>
    </w:p>
    <w:p>
      <w:pPr>
        <w:pStyle w:val="ListBullet"/>
      </w:pPr>
      <w:r>
        <w:t>TTM net income only ~$0.2M (~$0.01 EPS) on &gt;$200M sales; quarters routinely swing to losses (Q3 FY25 net loss $2.1M; Q2 FY26 small net loss).</w:t>
      </w:r>
    </w:p>
    <w:p>
      <w:pPr>
        <w:spacing w:before="200" w:after="80"/>
      </w:pPr>
      <w:r>
        <w:rPr>
          <w:b/>
          <w:color w:val="A32A2A"/>
          <w:sz w:val="25"/>
        </w:rPr>
        <w:t>5.3  Concentration &amp; distribution-model risk</w:t>
      </w:r>
    </w:p>
    <w:p>
      <w:pPr>
        <w:pStyle w:val="ListBullet"/>
      </w:pPr>
      <w:r>
        <w:t>Two suppliers each &gt;10% of cost of sales; episodic large customers (one PMT customer was 12% of sales in FY2023, then absent in FY2024) add revenue lumpiness.</w:t>
      </w:r>
    </w:p>
    <w:p>
      <w:pPr>
        <w:pStyle w:val="ListBullet"/>
      </w:pPr>
      <w:r>
        <w:t>As a distributor/integrator, success "depends in large part on maintaining current vendor relationships," and the deep IP in the new SiC/BESS deals sits with the partners (NoMIS, Navitas, Gotion), not RELL.</w:t>
      </w:r>
    </w:p>
    <w:p>
      <w:pPr>
        <w:spacing w:before="200" w:after="80"/>
      </w:pPr>
      <w:r>
        <w:rPr>
          <w:b/>
          <w:color w:val="A32A2A"/>
          <w:sz w:val="25"/>
        </w:rPr>
        <w:t>5.4  Governance &amp; capital-allocation track record</w:t>
      </w:r>
    </w:p>
    <w:p>
      <w:pPr>
        <w:pStyle w:val="ListBullet"/>
      </w:pPr>
      <w:r>
        <w:rPr>
          <w:b/>
        </w:rPr>
        <w:t xml:space="preserve">Control: </w:t>
      </w:r>
      <w:r>
        <w:t>Dual-class structure: Class B = 10 votes/share. The 83-year-old founder-CEO controls ~63% of the vote and effectively all major corporate decisions — minority holders cannot force change. Key-man/succession risk is acute.</w:t>
      </w:r>
    </w:p>
    <w:p>
      <w:pPr>
        <w:pStyle w:val="ListBullet"/>
      </w:pPr>
      <w:r>
        <w:rPr>
          <w:b/>
        </w:rPr>
        <w:t xml:space="preserve">History: </w:t>
      </w:r>
      <w:r>
        <w:t>A Delaware Chancery derivative suit (Busch v. Richardson) was dismissed, but the court noted the board's failure to timely disclose related-party share repurchases tied to a foundation the founder allegedly controlled.</w:t>
      </w:r>
    </w:p>
    <w:p>
      <w:pPr>
        <w:pStyle w:val="ListBullet"/>
      </w:pPr>
      <w:r>
        <w:rPr>
          <w:b/>
        </w:rPr>
        <w:t xml:space="preserve">Precedent: </w:t>
      </w:r>
      <w:r>
        <w:t>The multi-year Healthcare build-out never reached sustained profitability and was sold in Jan 2025 at a ~$4.9M loss on disposal — a cautionary precedent for today's pre-profit bets.</w:t>
      </w:r>
    </w:p>
    <w:p>
      <w:pPr>
        <w:spacing w:before="200" w:after="80"/>
      </w:pPr>
      <w:r>
        <w:rPr>
          <w:b/>
          <w:color w:val="A32A2A"/>
          <w:sz w:val="25"/>
        </w:rPr>
        <w:t>5.5  Valuation stretched after the AI rally</w:t>
      </w:r>
    </w:p>
    <w:p>
      <w:pPr>
        <w:pStyle w:val="ListBullet"/>
      </w:pPr>
      <w:r>
        <w:t>Stock roughly doubled off its 52-week low (+~70%) on the AI/data-center-power theme — the late-May leg was driven largely by the Gotion and NoMIS announcements.</w:t>
      </w:r>
    </w:p>
    <w:p>
      <w:pPr>
        <w:pStyle w:val="ListBullet"/>
      </w:pPr>
      <w:r>
        <w:t>~52–64x trailing P/E and ~24x EV/EBITDA on ~$0.01 TTM EPS — the multiple prices in substantial future growth.</w:t>
      </w:r>
    </w:p>
    <w:p>
      <w:pPr>
        <w:pStyle w:val="ListBullet"/>
      </w:pPr>
      <w:r>
        <w:t>The lone active analyst (Northland) rates it Hold with a $14 target — below the ~$17 price. The stock has run past published targets.</w:t>
      </w:r>
    </w:p>
    <w:p>
      <w:pPr>
        <w:spacing w:before="200" w:after="80"/>
      </w:pPr>
      <w:r>
        <w:rPr>
          <w:b/>
          <w:color w:val="A32A2A"/>
          <w:sz w:val="25"/>
        </w:rPr>
        <w:t>5.6  Other monitored risks</w:t>
      </w:r>
    </w:p>
    <w:p>
      <w:pPr>
        <w:pStyle w:val="ListBullet"/>
      </w:pPr>
      <w:r>
        <w:t>No FX hedging; tariff/China-sourcing overhang (acute for the Gotion tie given U.S. political scrutiny of Chinese battery makers); inventory/supply-chain disruption; declining legacy vacuum-tube category.</w:t>
      </w:r>
    </w:p>
    <w:p>
      <w:pPr>
        <w:pBdr>
          <w:bottom w:val="single" w:sz="6" w:space="4" w:color="1A5C97"/>
        </w:pBdr>
        <w:spacing w:before="320" w:after="160"/>
      </w:pPr>
      <w:r>
        <w:rPr>
          <w:b/>
          <w:color w:val="1F2A44"/>
          <w:sz w:val="32"/>
        </w:rPr>
        <w:t>6.  The AI / Power-Electronics Secular Tailwind — How Real Is It?</w:t>
      </w:r>
    </w:p>
    <w:p>
      <w:r>
        <w:rPr>
          <w:i/>
          <w:sz w:val="21"/>
        </w:rPr>
        <w:t>This is the crux of the current narrative. Our assessment: RELL is a genuine but second-derivative, partial beneficiary — not a core AI play. The exposure sorts into three tiers of credibility, and two May 2026 partnerships (Section 6.4) nudge the data-center-power piece up the credibility ladder.</w:t>
      </w:r>
    </w:p>
    <w:p>
      <w:pPr>
        <w:spacing w:before="200" w:after="80"/>
      </w:pPr>
      <w:r>
        <w:rPr>
          <w:b/>
          <w:color w:val="1B7A3D"/>
          <w:sz w:val="25"/>
        </w:rPr>
        <w:t>Tier 1 — Genuine, quantified, mechanism-backed (~18–20% of revenue)</w:t>
      </w:r>
    </w:p>
    <w:p>
      <w:pPr>
        <w:pStyle w:val="ListBullet"/>
      </w:pPr>
      <w:r>
        <w:rPr>
          <w:b/>
        </w:rPr>
        <w:t xml:space="preserve">Semiconductor wafer-fab equipment — </w:t>
      </w:r>
      <w:r>
        <w:t>the single direct AI link. RELL's Electron Device Group builds engineered tubes / RF / high-power components (magnetrons, klystrons, RF power devices) that go INTO wafer-fab equipment for plasma generation, etch, deposition and heating.</w:t>
      </w:r>
    </w:p>
    <w:p>
      <w:pPr>
        <w:pStyle w:val="ListBullet"/>
      </w:pPr>
      <w:r>
        <w:rPr>
          <w:b/>
        </w:rPr>
        <w:t xml:space="preserve">The customer &amp; size: </w:t>
      </w:r>
      <w:r>
        <w:t>Lam Research is RELL's largest customer; Lam's FY2025 revenue grew ~24% to $18.4B on AI/memory (HBM/DRAM) capex. RELL rides that WFE cycle. Management guided this line "north of $40M" for CY2025 — ~18–20% of revenue — growing +52% YoY in Q1 FY26. This is the substantive, defensible AI thesis.</w:t>
      </w:r>
    </w:p>
    <w:p>
      <w:pPr>
        <w:pBdr>
          <w:left w:val="single" w:sz="24" w:space="8" w:color="1B7A3D"/>
        </w:pBdr>
        <w:spacing w:before="120" w:after="160"/>
        <w:ind w:left="216"/>
      </w:pPr>
      <w:r>
        <w:rPr>
          <w:b/>
          <w:color w:val="1B7A3D"/>
          <w:sz w:val="21"/>
        </w:rPr>
        <w:t xml:space="preserve">CAVEAT:  </w:t>
      </w:r>
      <w:r>
        <w:rPr>
          <w:sz w:val="21"/>
        </w:rPr>
        <w:t>RELL is a low-content consumable/component feeder, not a primary beneficiary. Demand is set by Lam's order patterns (single-customer concentration), and WFE is cyclical and memory-capex-lumpy.</w:t>
      </w:r>
    </w:p>
    <w:p>
      <w:pPr>
        <w:spacing w:before="200" w:after="80"/>
      </w:pPr>
      <w:r>
        <w:rPr>
          <w:b/>
          <w:color w:val="1A5C97"/>
          <w:sz w:val="25"/>
        </w:rPr>
        <w:t>Tier 2 — Indirect but increasingly concrete (the power-electronics / 800V angle)</w:t>
      </w:r>
    </w:p>
    <w:p>
      <w:pPr>
        <w:pStyle w:val="ListBullet"/>
      </w:pPr>
      <w:r>
        <w:rPr>
          <w:b/>
        </w:rPr>
        <w:t xml:space="preserve">SiC power devices: </w:t>
      </w:r>
      <w:r>
        <w:t>RELL now distributes TWO complementary SiC lines — Navitas/GeneSiC (650V–6.5kV) and NoMIS Power (1.2kV–10kV, emphasis 3.3kV+). Both name "data center" / "AI data center power infrastructure" as target markets. See Section 6.3 on why the high-voltage band matters for the 800V transition.</w:t>
      </w:r>
    </w:p>
    <w:p>
      <w:pPr>
        <w:pStyle w:val="ListBullet"/>
      </w:pPr>
      <w:r>
        <w:rPr>
          <w:b/>
        </w:rPr>
        <w:t xml:space="preserve">RF energy: </w:t>
      </w:r>
      <w:r>
        <w:t>RF components feeding plasma RF generators are largely the SAME wafer-fab channel as Tier 1 — already counted, not additive.</w:t>
      </w:r>
    </w:p>
    <w:p>
      <w:pPr>
        <w:pBdr>
          <w:left w:val="single" w:sz="24" w:space="8" w:color="A32A2A"/>
        </w:pBdr>
        <w:spacing w:before="120" w:after="160"/>
        <w:ind w:left="216"/>
      </w:pPr>
      <w:r>
        <w:rPr>
          <w:b/>
          <w:color w:val="A32A2A"/>
          <w:sz w:val="21"/>
        </w:rPr>
        <w:t xml:space="preserve">DON'T DOUBLE-COUNT:  </w:t>
      </w:r>
      <w:r>
        <w:rPr>
          <w:sz w:val="21"/>
        </w:rPr>
        <w:t>Much "Richardson RFPD" GaN/SiC/data-center power content found online belongs to Arrow Electronics — RELL sold its RF, Wireless &amp; Power Division ("Richardson RFPD") to Arrow for $210M in 2011. The richardsonrfpd.com domain is Arrow's, and using it inflates RELL's perceived AI exposure.</w:t>
      </w:r>
    </w:p>
    <w:p>
      <w:pPr>
        <w:spacing w:before="200" w:after="80"/>
      </w:pPr>
      <w:r>
        <w:rPr>
          <w:b/>
          <w:color w:val="A32A2A"/>
          <w:sz w:val="25"/>
        </w:rPr>
        <w:t>Tier 3 — Speculative / narrative (≈0% of current revenue)</w:t>
      </w:r>
    </w:p>
    <w:p>
      <w:pPr>
        <w:pStyle w:val="ListBullet"/>
      </w:pPr>
      <w:r>
        <w:rPr>
          <w:b/>
        </w:rPr>
        <w:t xml:space="preserve">Net: </w:t>
      </w:r>
      <w:r>
        <w:t>the AI/grid linkage for BESS is plausible (AI is the main driver of U.S. grid load growth) but currently investor-inferred. Neither the Gotion nor the Kane County BESS announcement explicitly names AI data centers, and there is NO disclosed data-center revenue or backlog. EUV-lithography exposure: none found.</w:t>
      </w:r>
    </w:p>
    <w:p>
      <w:pPr>
        <w:spacing w:before="200" w:after="80"/>
      </w:pPr>
      <w:r>
        <w:rPr>
          <w:b/>
          <w:color w:val="1A5C97"/>
          <w:sz w:val="25"/>
        </w:rPr>
        <w:t>6.3  The 800V transition — RELL's silicon-carbide positioning</w:t>
      </w:r>
    </w:p>
    <w:p>
      <w:r>
        <w:rPr>
          <w:i w:val="0"/>
          <w:sz w:val="21"/>
        </w:rPr>
        <w:t>A specific follow-on question: is RELL a beneficiary of the "800V transition"? Short answer — yes, directionally, but as a small second-order distributor riding others' silicon, with revenue weighted to 2027+.</w:t>
      </w:r>
    </w:p>
    <w:p>
      <w:pPr>
        <w:pStyle w:val="ListBullet"/>
      </w:pPr>
      <w:r>
        <w:rPr>
          <w:b/>
        </w:rPr>
        <w:t xml:space="preserve">What it is: </w:t>
      </w:r>
      <w:r>
        <w:t>NVIDIA's 800V HVDC data-center architecture (mass production targeted ~2027, Kyber/Rubin-era racks) strips out intermediate AC/DC conversion to feed 800V DC to 1MW+ racks. In that stack, SiC is the high-voltage "strongman" (rectifiers, solid-state transformers, HVDC interfaces) and GaN handles the fast low-voltage GPU rails. Named ecosystem partners: Infineon, Navitas, STMicro, TI, plus Eaton/Vertiv/Delta.</w:t>
      </w:r>
    </w:p>
    <w:p>
      <w:pPr>
        <w:pStyle w:val="ListBullet"/>
      </w:pPr>
      <w:r>
        <w:rPr>
          <w:b/>
        </w:rPr>
        <w:t xml:space="preserve">Where RELL plugs in: </w:t>
      </w:r>
      <w:r>
        <w:t>RELL distributes Navitas GeneSiC — and Navitas is itself one of NVIDIA's named 800V HVDC partners. The new NoMIS line (3.3kV+) sits exactly in the solid-state-transformer / HVDC-interface band. So the positioning is genuine, not just a tagline.</w:t>
      </w:r>
    </w:p>
    <w:p>
      <w:pPr>
        <w:pStyle w:val="ListBullet"/>
      </w:pPr>
      <w:r>
        <w:rPr>
          <w:b/>
        </w:rPr>
        <w:t xml:space="preserve">Why it stays Tier 2: </w:t>
      </w:r>
      <w:r>
        <w:t>RELL is a specialist distributor/integrator, not a chip maker — the marquee hyperscaler sockets are served direct by the chip makers and broadline giants (Arrow, Avnet, Mouser); RELL's lane is lower-volume, industrial and long-tail customers. It's a 2027+ story with no disclosed HVDC/data-center revenue yet, and the GaN (GPU-rail) content is thinner than the SiC content.</w:t>
      </w:r>
    </w:p>
    <w:p>
      <w:pPr>
        <w:spacing w:before="200" w:after="80"/>
      </w:pPr>
      <w:r>
        <w:rPr>
          <w:b/>
          <w:color w:val="1F2A44"/>
          <w:sz w:val="25"/>
        </w:rPr>
        <w:t>6.4  Partnership spotlight — Gotion (May 13) and NoMIS Power (May 20, 2026)</w:t>
      </w:r>
    </w:p>
    <w:p>
      <w:r>
        <w:rPr>
          <w:i/>
          <w:color w:val="555555"/>
          <w:sz w:val="19"/>
        </w:rPr>
        <w:t>These two announcements, a week apart, drove the late-May rally and are the most tangible expressions of the AI/power-electronics and clean-energy theses. Both are partnership/technology deals with NO disclosed revenue, contract value, exclusivity terms, or volume commitments — treat them as on-strategy call options, not booked business.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960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Gotion — U.S.-made BESS</w:t>
            </w:r>
          </w:p>
        </w:tc>
        <w:tc>
          <w:tcPr>
            <w:tcW w:type="dxa" w:w="3960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NoMIS Power — silicon carbide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Announced</w:t>
            </w:r>
          </w:p>
        </w:tc>
        <w:tc>
          <w:tcPr>
            <w:tcW w:type="dxa" w:w="3960"/>
          </w:tcPr>
          <w:p>
            <w:r/>
            <w:r>
              <w:rPr>
                <w:b w:val="0"/>
                <w:sz w:val="19"/>
              </w:rPr>
              <w:t>May 13, 2026</w:t>
            </w:r>
          </w:p>
        </w:tc>
        <w:tc>
          <w:tcPr>
            <w:tcW w:type="dxa" w:w="3960"/>
          </w:tcPr>
          <w:p>
            <w:r/>
            <w:r>
              <w:rPr>
                <w:b w:val="0"/>
                <w:sz w:val="19"/>
              </w:rPr>
              <w:t>May 20, 2026</w:t>
            </w:r>
          </w:p>
        </w:tc>
      </w:tr>
      <w:tr>
        <w:tc>
          <w:tcPr>
            <w:tcW w:type="dxa" w:w="1440"/>
            <w:shd w:val="clear" w:color="auto" w:fill="F0F3F7"/>
          </w:tcPr>
          <w:p>
            <w:r/>
            <w:r>
              <w:rPr>
                <w:b w:val="0"/>
                <w:sz w:val="19"/>
              </w:rPr>
              <w:t>Partner</w:t>
            </w:r>
          </w:p>
        </w:tc>
        <w:tc>
          <w:tcPr>
            <w:tcW w:type="dxa" w:w="3960"/>
            <w:shd w:val="clear" w:color="auto" w:fill="F0F3F7"/>
          </w:tcPr>
          <w:p>
            <w:r/>
            <w:r>
              <w:rPr>
                <w:b w:val="0"/>
                <w:sz w:val="19"/>
              </w:rPr>
              <w:t>Gotion (Chinese-founded battery maker; U.S. arm). Cells/battery tech from its Manteno, IL hub.</w:t>
            </w:r>
          </w:p>
        </w:tc>
        <w:tc>
          <w:tcPr>
            <w:tcW w:type="dxa" w:w="3960"/>
            <w:shd w:val="clear" w:color="auto" w:fill="F0F3F7"/>
          </w:tcPr>
          <w:p>
            <w:r/>
            <w:r>
              <w:rPr>
                <w:b w:val="0"/>
                <w:sz w:val="19"/>
              </w:rPr>
              <w:t>NoMIS Power — designer of advanced SiC power semiconductors (planar MOSFETs, hybrid/bi-directional devices, diodes, modules).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Products</w:t>
            </w:r>
          </w:p>
        </w:tc>
        <w:tc>
          <w:tcPr>
            <w:tcW w:type="dxa" w:w="3960"/>
          </w:tcPr>
          <w:p>
            <w:r/>
            <w:r>
              <w:rPr>
                <w:b w:val="0"/>
                <w:sz w:val="19"/>
              </w:rPr>
              <w:t>Two platforms: a 760-kWh C&amp;I system and a 5 MWh utility-scale system; scalable to projects in the hundreds of MW.</w:t>
            </w:r>
          </w:p>
        </w:tc>
        <w:tc>
          <w:tcPr>
            <w:tcW w:type="dxa" w:w="3960"/>
          </w:tcPr>
          <w:p>
            <w:r/>
            <w:r>
              <w:rPr>
                <w:b w:val="0"/>
                <w:sz w:val="19"/>
              </w:rPr>
              <w:t>SiC across 1.2kV–10kV, emphasis on medium/high voltage 3.3kV+ for demanding power conversion.</w:t>
            </w:r>
          </w:p>
        </w:tc>
      </w:tr>
      <w:tr>
        <w:tc>
          <w:tcPr>
            <w:tcW w:type="dxa" w:w="1440"/>
            <w:shd w:val="clear" w:color="auto" w:fill="F0F3F7"/>
          </w:tcPr>
          <w:p>
            <w:r/>
            <w:r>
              <w:rPr>
                <w:b w:val="0"/>
                <w:sz w:val="19"/>
              </w:rPr>
              <w:t>RELL's role</w:t>
            </w:r>
          </w:p>
        </w:tc>
        <w:tc>
          <w:tcPr>
            <w:tcW w:type="dxa" w:w="3960"/>
            <w:shd w:val="clear" w:color="auto" w:fill="F0F3F7"/>
          </w:tcPr>
          <w:p>
            <w:r/>
            <w:r>
              <w:rPr>
                <w:b w:val="0"/>
                <w:sz w:val="19"/>
              </w:rPr>
              <w:t>Commercialization, engineering integration, and U.S. go-to-market; assembled in IL (Gotion Manteno; RELL La Fox capacity).</w:t>
            </w:r>
          </w:p>
        </w:tc>
        <w:tc>
          <w:tcPr>
            <w:tcW w:type="dxa" w:w="3960"/>
            <w:shd w:val="clear" w:color="auto" w:fill="F0F3F7"/>
          </w:tcPr>
          <w:p>
            <w:r/>
            <w:r>
              <w:rPr>
                <w:b w:val="0"/>
                <w:sz w:val="19"/>
              </w:rPr>
              <w:t>Global distribution + engineering integration; NoMIS brings device design, packaging, testing, reliability &amp; app support.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Target markets</w:t>
            </w:r>
          </w:p>
        </w:tc>
        <w:tc>
          <w:tcPr>
            <w:tcW w:type="dxa" w:w="3960"/>
          </w:tcPr>
          <w:p>
            <w:r/>
            <w:r>
              <w:rPr>
                <w:b w:val="0"/>
                <w:sz w:val="19"/>
              </w:rPr>
              <w:t>C&amp;I and utility-scale grid storage; rising-electricity-cost mitigation, grid resilience. Tied to Illinois CRGA rebates (up to $250/kWh).</w:t>
            </w:r>
          </w:p>
        </w:tc>
        <w:tc>
          <w:tcPr>
            <w:tcW w:type="dxa" w:w="3960"/>
          </w:tcPr>
          <w:p>
            <w:r/>
            <w:r>
              <w:rPr>
                <w:b w:val="0"/>
                <w:sz w:val="19"/>
              </w:rPr>
              <w:t>BESS, renewable conversion, AI data-center power, HVDC interfaces, solid-state transformers, rail, industrial drives, aerospace/defense, marine.</w:t>
            </w:r>
          </w:p>
        </w:tc>
      </w:tr>
      <w:tr>
        <w:tc>
          <w:tcPr>
            <w:tcW w:type="dxa" w:w="1440"/>
            <w:shd w:val="clear" w:color="auto" w:fill="F0F3F7"/>
          </w:tcPr>
          <w:p>
            <w:r/>
            <w:r>
              <w:rPr>
                <w:b w:val="0"/>
                <w:sz w:val="19"/>
              </w:rPr>
              <w:t>Strategic read</w:t>
            </w:r>
          </w:p>
        </w:tc>
        <w:tc>
          <w:tcPr>
            <w:tcW w:type="dxa" w:w="3960"/>
            <w:shd w:val="clear" w:color="auto" w:fill="F0F3F7"/>
          </w:tcPr>
          <w:p>
            <w:r/>
            <w:r>
              <w:rPr>
                <w:b w:val="0"/>
                <w:sz w:val="19"/>
              </w:rPr>
              <w:t>Domestic-content/tariff-insulated entry into a multi-billion-$ BESS market — but carries China-ownership political risk.</w:t>
            </w:r>
          </w:p>
        </w:tc>
        <w:tc>
          <w:tcPr>
            <w:tcW w:type="dxa" w:w="3960"/>
            <w:shd w:val="clear" w:color="auto" w:fill="F0F3F7"/>
          </w:tcPr>
          <w:p>
            <w:r/>
            <w:r>
              <w:rPr>
                <w:b w:val="0"/>
                <w:sz w:val="19"/>
              </w:rPr>
              <w:t>Extends SiC bench to ~650V–10kV (with Navitas); directly addresses the 800V/SST power build-out.</w:t>
            </w:r>
          </w:p>
        </w:tc>
      </w:tr>
    </w:tbl>
    <w:p>
      <w:pPr>
        <w:spacing w:before="200" w:after="80"/>
      </w:pPr>
      <w:r>
        <w:rPr>
          <w:b/>
          <w:color w:val="1F2A44"/>
          <w:sz w:val="25"/>
        </w:rPr>
        <w:t>Management framing</w:t>
      </w:r>
    </w:p>
    <w:p>
      <w:r>
        <w:rPr>
          <w:i w:val="0"/>
          <w:sz w:val="21"/>
        </w:rPr>
        <w:t>On the Q3 FY26 call (April 2026) management leaned into the theme — strength "driven by the semiconductor wafer fab market as AI continues to lift equipment demand globally," with customer forecasts suggesting "a longer upside cycle tied to broader semiconductor and data-center demand" into FY2027. The concrete, recurring claim is wafer-fab-via-Lam; the data-center/grid references are aspirational color that the Gotion/NoMIS deals are beginning to give substance.</w:t>
      </w:r>
    </w:p>
    <w:p>
      <w:pPr>
        <w:pBdr>
          <w:bottom w:val="single" w:sz="6" w:space="4" w:color="1A5C97"/>
        </w:pBdr>
        <w:spacing w:before="320" w:after="160"/>
      </w:pPr>
      <w:r>
        <w:rPr>
          <w:b/>
          <w:color w:val="1F2A44"/>
          <w:sz w:val="32"/>
        </w:rPr>
        <w:t>7.  Near-Term Catalysts (Next 3–12 Months)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32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Catalyst</w:t>
            </w:r>
          </w:p>
        </w:tc>
        <w:tc>
          <w:tcPr>
            <w:tcW w:type="dxa" w:w="2520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Timing</w:t>
            </w:r>
          </w:p>
        </w:tc>
        <w:tc>
          <w:tcPr>
            <w:tcW w:type="dxa" w:w="4608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Why it matters</w:t>
            </w:r>
          </w:p>
        </w:tc>
      </w:tr>
      <w:tr>
        <w:tc>
          <w:tcPr>
            <w:tcW w:type="dxa" w:w="2232"/>
          </w:tcPr>
          <w:p>
            <w:r/>
            <w:r>
              <w:rPr>
                <w:b w:val="0"/>
                <w:sz w:val="19"/>
              </w:rPr>
              <w:t>Q4 / full-year FY2026 earnings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9"/>
              </w:rPr>
              <w:t>~Late July 2026 (est.; sources split Jul 22 vs 29 — not yet company-confirmed)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Watch for confirmation of double-digit FY revenue growth, PMT/semi momentum, backlog, and the first FY2027 guide. Consensus (thin): Q4 rev ~$55–57M, EPS ~$0.10–0.11; FY26 rev ~$220.6M, EPS ~$0.26.</w:t>
            </w:r>
          </w:p>
        </w:tc>
      </w:tr>
      <w:tr>
        <w:tc>
          <w:tcPr>
            <w:tcW w:type="dxa" w:w="2232"/>
            <w:shd w:val="clear" w:color="auto" w:fill="F0F3F7"/>
          </w:tcPr>
          <w:p>
            <w:r/>
            <w:r>
              <w:rPr>
                <w:b w:val="0"/>
                <w:sz w:val="19"/>
              </w:rPr>
              <w:t>NoMIS Power SiC partnership</w:t>
            </w:r>
          </w:p>
        </w:tc>
        <w:tc>
          <w:tcPr>
            <w:tcW w:type="dxa" w:w="2520"/>
            <w:shd w:val="clear" w:color="auto" w:fill="F0F3F7"/>
          </w:tcPr>
          <w:p>
            <w:r/>
            <w:r>
              <w:rPr>
                <w:b w:val="0"/>
                <w:sz w:val="19"/>
              </w:rPr>
              <w:t>Announced May 20, 2026; PCIM Europe debut Jun 9–11, 2026</w:t>
            </w:r>
          </w:p>
        </w:tc>
        <w:tc>
          <w:tcPr>
            <w:tcW w:type="dxa" w:w="4608"/>
            <w:shd w:val="clear" w:color="auto" w:fill="F0F3F7"/>
          </w:tcPr>
          <w:p>
            <w:r/>
            <w:r>
              <w:rPr>
                <w:b w:val="0"/>
                <w:sz w:val="19"/>
              </w:rPr>
              <w:t>Medium/high-voltage (3.3kV+) SiC aimed at AI data-center power, HVDC interfaces and solid-state transformers — the 800V build-out. Watch for design wins / first revenue.</w:t>
            </w:r>
          </w:p>
        </w:tc>
      </w:tr>
      <w:tr>
        <w:tc>
          <w:tcPr>
            <w:tcW w:type="dxa" w:w="2232"/>
          </w:tcPr>
          <w:p>
            <w:r/>
            <w:r>
              <w:rPr>
                <w:b w:val="0"/>
                <w:sz w:val="19"/>
              </w:rPr>
              <w:t>Gotion BESS ramp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9"/>
              </w:rPr>
              <w:t>Announced May 13, 2026; commercial ramp 2H-2026+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U.S.-made 760-kWh and 5 MWh storage systems for a "multi-billion-dollar" market, IL CRGA-subsidized. Highest-optionality catalyst — but no disclosed contract value, and China-ownership political risk.</w:t>
            </w:r>
          </w:p>
        </w:tc>
      </w:tr>
      <w:tr>
        <w:tc>
          <w:tcPr>
            <w:tcW w:type="dxa" w:w="2232"/>
            <w:shd w:val="clear" w:color="auto" w:fill="F0F3F7"/>
          </w:tcPr>
          <w:p>
            <w:r/>
            <w:r>
              <w:rPr>
                <w:b w:val="0"/>
                <w:sz w:val="19"/>
              </w:rPr>
              <w:t>La Fox capacity expansion</w:t>
            </w:r>
          </w:p>
        </w:tc>
        <w:tc>
          <w:tcPr>
            <w:tcW w:type="dxa" w:w="2520"/>
            <w:shd w:val="clear" w:color="auto" w:fill="F0F3F7"/>
          </w:tcPr>
          <w:p>
            <w:r/>
            <w:r>
              <w:rPr>
                <w:b w:val="0"/>
                <w:sz w:val="19"/>
              </w:rPr>
              <w:t>Announced Aug 2025; phased over 4 years</w:t>
            </w:r>
          </w:p>
        </w:tc>
        <w:tc>
          <w:tcPr>
            <w:tcW w:type="dxa" w:w="4608"/>
            <w:shd w:val="clear" w:color="auto" w:fill="F0F3F7"/>
          </w:tcPr>
          <w:p>
            <w:r/>
            <w:r>
              <w:rPr>
                <w:b w:val="0"/>
                <w:sz w:val="19"/>
              </w:rPr>
              <w:t>$8.5M, REV Illinois-backed; ~160,000 sq ft footprint underpins the BESS ramp; +54 jobs.</w:t>
            </w:r>
          </w:p>
        </w:tc>
      </w:tr>
      <w:tr>
        <w:tc>
          <w:tcPr>
            <w:tcW w:type="dxa" w:w="2232"/>
          </w:tcPr>
          <w:p>
            <w:r/>
            <w:r>
              <w:rPr>
                <w:b w:val="0"/>
                <w:sz w:val="19"/>
              </w:rPr>
              <w:t>Semiconductor WFE upcycle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9"/>
              </w:rPr>
              <w:t>CY2026–2027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SEMI forecasts record ~$139B equipment sales in 2026 (WFE +9%; 300mm fab equipment +18%), AI-driven, rising to ~$156B in 2027 — directly lifts PMT's largest growth line.</w:t>
            </w:r>
          </w:p>
        </w:tc>
      </w:tr>
      <w:tr>
        <w:tc>
          <w:tcPr>
            <w:tcW w:type="dxa" w:w="2232"/>
            <w:shd w:val="clear" w:color="auto" w:fill="F0F3F7"/>
          </w:tcPr>
          <w:p>
            <w:r/>
            <w:r>
              <w:rPr>
                <w:b w:val="0"/>
                <w:sz w:val="19"/>
              </w:rPr>
              <w:t>GES book-to-bill / wind backlog</w:t>
            </w:r>
          </w:p>
        </w:tc>
        <w:tc>
          <w:tcPr>
            <w:tcW w:type="dxa" w:w="2520"/>
            <w:shd w:val="clear" w:color="auto" w:fill="F0F3F7"/>
          </w:tcPr>
          <w:p>
            <w:r/>
            <w:r>
              <w:rPr>
                <w:b w:val="0"/>
                <w:sz w:val="19"/>
              </w:rPr>
              <w:t>Ongoing</w:t>
            </w:r>
          </w:p>
        </w:tc>
        <w:tc>
          <w:tcPr>
            <w:tcW w:type="dxa" w:w="4608"/>
            <w:shd w:val="clear" w:color="auto" w:fill="F0F3F7"/>
          </w:tcPr>
          <w:p>
            <w:r/>
            <w:r>
              <w:rPr>
                <w:b w:val="0"/>
                <w:sz w:val="19"/>
              </w:rPr>
              <w:t>GES core book-to-bill ran 1.10 on 39% growth; core PEM backlog +15% — management signals a strong Q4 and FY2027.</w:t>
            </w:r>
          </w:p>
        </w:tc>
      </w:tr>
      <w:tr>
        <w:tc>
          <w:tcPr>
            <w:tcW w:type="dxa" w:w="2232"/>
          </w:tcPr>
          <w:p>
            <w:r/>
            <w:r>
              <w:rPr>
                <w:b w:val="0"/>
                <w:sz w:val="19"/>
              </w:rPr>
              <w:t>Capital allocation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9"/>
              </w:rPr>
              <w:t>Quarterly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Steady $0.06 dividend; clean balance sheet supports buyback / M&amp;A optionality (none announced yet).</w:t>
            </w:r>
          </w:p>
        </w:tc>
      </w:tr>
    </w:tbl>
    <w:p>
      <w:r>
        <w:rPr>
          <w:i/>
          <w:color w:val="555555"/>
          <w:sz w:val="19"/>
        </w:rPr>
        <w:t>Calendar watch-items: (1) ~late July — FY26 print + FY27 guide; (2) Jun 9–11 — NoMIS/PCIM Europe; (3) 2H-2026 — Gotion BESS commercial ramp and La Fox capacity online; (4) ongoing — PMT/semi orders tracking the SEMI 2026–2027 WFE upcycle.</w:t>
      </w:r>
    </w:p>
    <w:p>
      <w:pPr>
        <w:pBdr>
          <w:bottom w:val="single" w:sz="6" w:space="4" w:color="1A5C97"/>
        </w:pBdr>
        <w:spacing w:before="320" w:after="160"/>
      </w:pPr>
      <w:r>
        <w:rPr>
          <w:b/>
          <w:color w:val="1F2A44"/>
          <w:sz w:val="32"/>
        </w:rPr>
        <w:t>8.  Bull/Bear Scorecard &amp; What Would Change the Thesis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3744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Bull read</w:t>
            </w:r>
          </w:p>
        </w:tc>
        <w:tc>
          <w:tcPr>
            <w:tcW w:type="dxa" w:w="3744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Bear read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Growth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7 straight quarters up; record backlog; WFE re-accelerating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Cyclical; -25% just two years ago; one-customer dependence</w:t>
            </w:r>
          </w:p>
        </w:tc>
      </w:tr>
      <w:tr>
        <w:tc>
          <w:tcPr>
            <w:tcW w:type="dxa" w:w="1872"/>
            <w:shd w:val="clear" w:color="auto" w:fill="F0F3F7"/>
          </w:tcPr>
          <w:p>
            <w:r/>
            <w:r>
              <w:rPr>
                <w:b w:val="0"/>
                <w:sz w:val="19"/>
              </w:rPr>
              <w:t>Margins</w:t>
            </w:r>
          </w:p>
        </w:tc>
        <w:tc>
          <w:tcPr>
            <w:tcW w:type="dxa" w:w="3744"/>
            <w:shd w:val="clear" w:color="auto" w:fill="F0F3F7"/>
          </w:tcPr>
          <w:p>
            <w:r/>
            <w:r>
              <w:rPr>
                <w:b w:val="0"/>
                <w:sz w:val="19"/>
              </w:rPr>
              <w:t>Expanding on engineered-solutions mix shift (GM ~32%)</w:t>
            </w:r>
          </w:p>
        </w:tc>
        <w:tc>
          <w:tcPr>
            <w:tcW w:type="dxa" w:w="3744"/>
            <w:shd w:val="clear" w:color="auto" w:fill="F0F3F7"/>
          </w:tcPr>
          <w:p>
            <w:r/>
            <w:r>
              <w:rPr>
                <w:b w:val="0"/>
                <w:sz w:val="19"/>
              </w:rPr>
              <w:t>Still thin; lumpy; quarters dip to losses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Balance sheet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Debt-free, net cash, 38-yr dividend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Cash drawn down to fund working capital</w:t>
            </w:r>
          </w:p>
        </w:tc>
      </w:tr>
      <w:tr>
        <w:tc>
          <w:tcPr>
            <w:tcW w:type="dxa" w:w="1872"/>
            <w:shd w:val="clear" w:color="auto" w:fill="F0F3F7"/>
          </w:tcPr>
          <w:p>
            <w:r/>
            <w:r>
              <w:rPr>
                <w:b w:val="0"/>
                <w:sz w:val="19"/>
              </w:rPr>
              <w:t>AI / power exposure</w:t>
            </w:r>
          </w:p>
        </w:tc>
        <w:tc>
          <w:tcPr>
            <w:tcW w:type="dxa" w:w="3744"/>
            <w:shd w:val="clear" w:color="auto" w:fill="F0F3F7"/>
          </w:tcPr>
          <w:p>
            <w:r/>
            <w:r>
              <w:rPr>
                <w:b w:val="0"/>
                <w:sz w:val="19"/>
              </w:rPr>
              <w:t>~18–20% rev WFE/AI-levered + SiC (800V) + BESS optionality</w:t>
            </w:r>
          </w:p>
        </w:tc>
        <w:tc>
          <w:tcPr>
            <w:tcW w:type="dxa" w:w="3744"/>
            <w:shd w:val="clear" w:color="auto" w:fill="F0F3F7"/>
          </w:tcPr>
          <w:p>
            <w:r/>
            <w:r>
              <w:rPr>
                <w:b w:val="0"/>
                <w:sz w:val="19"/>
              </w:rPr>
              <w:t>Second-derivative feeder; SiC/BESS deals = no disclosed revenue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Governance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Aligned founder ownership, long-term focus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83-yr-old controls ~63% votes; past disclosure litigation; key-man risk</w:t>
            </w:r>
          </w:p>
        </w:tc>
      </w:tr>
      <w:tr>
        <w:tc>
          <w:tcPr>
            <w:tcW w:type="dxa" w:w="1872"/>
            <w:shd w:val="clear" w:color="auto" w:fill="F0F3F7"/>
          </w:tcPr>
          <w:p>
            <w:r/>
            <w:r>
              <w:rPr>
                <w:b w:val="0"/>
                <w:sz w:val="19"/>
              </w:rPr>
              <w:t>Valuation</w:t>
            </w:r>
          </w:p>
        </w:tc>
        <w:tc>
          <w:tcPr>
            <w:tcW w:type="dxa" w:w="3744"/>
            <w:shd w:val="clear" w:color="auto" w:fill="F0F3F7"/>
          </w:tcPr>
          <w:p>
            <w:r/>
            <w:r>
              <w:rPr>
                <w:b w:val="0"/>
                <w:sz w:val="19"/>
              </w:rPr>
              <w:t>Net-cash optionality on a recovery</w:t>
            </w:r>
          </w:p>
        </w:tc>
        <w:tc>
          <w:tcPr>
            <w:tcW w:type="dxa" w:w="3744"/>
            <w:shd w:val="clear" w:color="auto" w:fill="F0F3F7"/>
          </w:tcPr>
          <w:p>
            <w:r/>
            <w:r>
              <w:rPr>
                <w:b w:val="0"/>
                <w:sz w:val="19"/>
              </w:rPr>
              <w:t>~50–60x P/E after +70% rally; above analyst target</w:t>
            </w:r>
          </w:p>
        </w:tc>
      </w:tr>
    </w:tbl>
    <w:p>
      <w:pPr>
        <w:spacing w:before="200" w:after="80"/>
      </w:pPr>
      <w:r>
        <w:rPr>
          <w:b/>
          <w:color w:val="1B7A3D"/>
          <w:sz w:val="25"/>
        </w:rPr>
        <w:t>What would make the bull case</w:t>
      </w:r>
    </w:p>
    <w:p>
      <w:pPr>
        <w:pStyle w:val="ListBullet"/>
      </w:pPr>
      <w:r>
        <w:t>FY27 guide confirms sustained double-digit growth; WFE upcycle proves durable (multi-year, not a 1-quarter pop).</w:t>
      </w:r>
    </w:p>
    <w:p>
      <w:pPr>
        <w:pStyle w:val="ListBullet"/>
      </w:pPr>
      <w:r>
        <w:t>Gotion BESS and NoMIS SiC convert to disclosed multi-year revenue/backlog; GES margin scales.</w:t>
      </w:r>
    </w:p>
    <w:p>
      <w:pPr>
        <w:pStyle w:val="ListBullet"/>
      </w:pPr>
      <w:r>
        <w:t>Operating margin moves structurally higher (mid-to-high single digits) as engineered-solutions mix grows.</w:t>
      </w:r>
    </w:p>
    <w:p>
      <w:pPr>
        <w:spacing w:before="200" w:after="80"/>
      </w:pPr>
      <w:r>
        <w:rPr>
          <w:b/>
          <w:color w:val="A32A2A"/>
          <w:sz w:val="25"/>
        </w:rPr>
        <w:t>What would break it</w:t>
      </w:r>
    </w:p>
    <w:p>
      <w:pPr>
        <w:pStyle w:val="ListBullet"/>
      </w:pPr>
      <w:r>
        <w:t>A renewed semiconductor-capex downturn or a Lam order air-pocket — the proven failure mode.</w:t>
      </w:r>
    </w:p>
    <w:p>
      <w:pPr>
        <w:pStyle w:val="ListBullet"/>
      </w:pPr>
      <w:r>
        <w:t>BESS/Gotion stalls (China-ownership policy friction) and the SiC deals stay press releases rather than revenue.</w:t>
      </w:r>
    </w:p>
    <w:p>
      <w:pPr>
        <w:pStyle w:val="ListBullet"/>
      </w:pPr>
      <w:r>
        <w:t>Multiple compresses toward the sell-side ~$14 target if the AI premium fades and earnings don't scale.</w:t>
      </w:r>
    </w:p>
    <w:p>
      <w:pPr>
        <w:pBdr>
          <w:bottom w:val="single" w:sz="6" w:space="4" w:color="1A5C97"/>
        </w:pBdr>
        <w:spacing w:before="320" w:after="160"/>
      </w:pPr>
      <w:r>
        <w:rPr>
          <w:b/>
          <w:color w:val="1F2A44"/>
          <w:sz w:val="32"/>
        </w:rPr>
        <w:t>9.  Sourcing, Confidence &amp; Caveats</w:t>
      </w:r>
    </w:p>
    <w:p>
      <w:pPr>
        <w:pBdr>
          <w:left w:val="single" w:sz="24" w:space="8" w:color="1F2A44"/>
        </w:pBdr>
        <w:spacing w:before="120" w:after="160"/>
        <w:ind w:left="216"/>
      </w:pPr>
      <w:r>
        <w:rPr>
          <w:b/>
          <w:color w:val="1F2A44"/>
          <w:sz w:val="21"/>
        </w:rPr>
        <w:t xml:space="preserve">DATA-QUALITY NOTE:  </w:t>
      </w:r>
      <w:r>
        <w:rPr>
          <w:sz w:val="21"/>
        </w:rPr>
        <w:t>This report synthesizes web-search extracts of primary sources (SEC 8-K/10-Q/10-K, GlobeNewswire press releases, earnings-call transcripts, and financial aggregators). Direct page-fetching of SEC.gov, GlobeNewswire, StockTitan and similar was blocked (HTTP 403) during research, so dollar figures were corroborated across multiple secondary extracts rather than read line-by-line from filings. Treat management TAM figures and the un-quantified May 2026 partnerships as company-presented/optionality. Confirm exact full-year GAAP EPS, segment percentages, and the FY26 Q4 earnings date against the primary filings before acting.</w:t>
      </w:r>
    </w:p>
    <w:p>
      <w:pPr>
        <w:spacing w:before="200" w:after="80"/>
      </w:pPr>
      <w:r>
        <w:rPr>
          <w:b/>
          <w:color w:val="1F2A44"/>
          <w:sz w:val="25"/>
        </w:rPr>
        <w:t>Key primary sources</w:t>
      </w:r>
    </w:p>
    <w:p>
      <w:pPr>
        <w:pStyle w:val="ListBullet"/>
      </w:pPr>
      <w:r>
        <w:rPr>
          <w:sz w:val="18"/>
        </w:rPr>
        <w:t>RELL FY2025 10-K (year ended May 31, 2025) — sec.gov/Archives/edgar/data/0000355948/000095017025101785/rell-20250531.htm</w:t>
      </w:r>
    </w:p>
    <w:p>
      <w:pPr>
        <w:pStyle w:val="ListBullet"/>
      </w:pPr>
      <w:r>
        <w:rPr>
          <w:sz w:val="18"/>
        </w:rPr>
        <w:t>RELL Q3 FY2026 10-Q &amp; 8-K (qtr ended Feb 28, 2026) — sec.gov/Archives/edgar/data/355948/000119312526149207/rell-20260228.htm</w:t>
      </w:r>
    </w:p>
    <w:p>
      <w:pPr>
        <w:pStyle w:val="ListBullet"/>
      </w:pPr>
      <w:r>
        <w:rPr>
          <w:sz w:val="18"/>
        </w:rPr>
        <w:t>Q3 FY26 results press release (Apr 8, 2026) — globenewswire.com</w:t>
      </w:r>
    </w:p>
    <w:p>
      <w:pPr>
        <w:pStyle w:val="ListBullet"/>
      </w:pPr>
      <w:r>
        <w:rPr>
          <w:sz w:val="18"/>
        </w:rPr>
        <w:t>Q2 FY26 results press release (Jan 7, 2026) — globenewswire.com</w:t>
      </w:r>
    </w:p>
    <w:p>
      <w:pPr>
        <w:pStyle w:val="ListBullet"/>
      </w:pPr>
      <w:r>
        <w:rPr>
          <w:sz w:val="18"/>
        </w:rPr>
        <w:t>Q1 FY26 results press release (Oct 8, 2025) — globenewswire.com</w:t>
      </w:r>
    </w:p>
    <w:p>
      <w:pPr>
        <w:pStyle w:val="ListBullet"/>
      </w:pPr>
      <w:r>
        <w:rPr>
          <w:sz w:val="18"/>
        </w:rPr>
        <w:t>FY2024 results press release (Jul 24, 2024) — globenewswire.com (the -25% downturn year)</w:t>
      </w:r>
    </w:p>
    <w:p>
      <w:pPr>
        <w:pStyle w:val="ListBullet"/>
      </w:pPr>
      <w:r>
        <w:rPr>
          <w:sz w:val="18"/>
        </w:rPr>
        <w:t>Healthcare divestiture to DirectMed Imaging (Jan 24, 2025) — globenewswire.com / businesswire.com</w:t>
      </w:r>
    </w:p>
    <w:p>
      <w:pPr>
        <w:pStyle w:val="ListBullet"/>
      </w:pPr>
      <w:r>
        <w:rPr>
          <w:sz w:val="18"/>
        </w:rPr>
        <w:t>NoMIS Power SiC technology partnership (May 20, 2026) — globenewswire.com; signalintegrityjournal.com; investing.com</w:t>
      </w:r>
    </w:p>
    <w:p>
      <w:pPr>
        <w:pStyle w:val="ListBullet"/>
      </w:pPr>
      <w:r>
        <w:rPr>
          <w:sz w:val="18"/>
        </w:rPr>
        <w:t>Gotion BESS technology partnership (May 13, 2026) — globenewswire.com; energy-storage.news; solarpowerworldonline.com</w:t>
      </w:r>
    </w:p>
    <w:p>
      <w:pPr>
        <w:pStyle w:val="ListBullet"/>
      </w:pPr>
      <w:r>
        <w:rPr>
          <w:sz w:val="18"/>
        </w:rPr>
        <w:t>Kane County / REV Illinois $8.5M expansion (Aug 20, 2025) — globenewswire.com</w:t>
      </w:r>
    </w:p>
    <w:p>
      <w:pPr>
        <w:pStyle w:val="ListBullet"/>
      </w:pPr>
      <w:r>
        <w:rPr>
          <w:sz w:val="18"/>
        </w:rPr>
        <w:t>Navitas/GeneSiC SiC partnership EMEA expansion (Nov 12, 2024) — globenewswire.com; navitassemi.com</w:t>
      </w:r>
    </w:p>
    <w:p>
      <w:pPr>
        <w:pStyle w:val="ListBullet"/>
      </w:pPr>
      <w:r>
        <w:rPr>
          <w:sz w:val="18"/>
        </w:rPr>
        <w:t>NVIDIA 800V HVDC architecture &amp; ecosystem — navitassemi.com; powerelectronicsnews.com; semianalysis.com</w:t>
      </w:r>
    </w:p>
    <w:p>
      <w:pPr>
        <w:pStyle w:val="ListBullet"/>
      </w:pPr>
      <w:r>
        <w:rPr>
          <w:sz w:val="18"/>
        </w:rPr>
        <w:t>GE Vernova exclusive ULTRA3000 PEM selection — rell.com press release</w:t>
      </w:r>
    </w:p>
    <w:p>
      <w:pPr>
        <w:pStyle w:val="ListBullet"/>
      </w:pPr>
      <w:r>
        <w:rPr>
          <w:sz w:val="18"/>
        </w:rPr>
        <w:t>Arrow Electronics completion of RFPD acquisition (2011, ownership clarification) — investor.arrow.com</w:t>
      </w:r>
    </w:p>
    <w:p>
      <w:pPr>
        <w:pStyle w:val="ListBullet"/>
      </w:pPr>
      <w:r>
        <w:rPr>
          <w:sz w:val="18"/>
        </w:rPr>
        <w:t>Lam Research FY2025 results (WFE/AI macro) — sec.gov LRCX 8-K</w:t>
      </w:r>
    </w:p>
    <w:p>
      <w:pPr>
        <w:pStyle w:val="ListBullet"/>
      </w:pPr>
      <w:r>
        <w:rPr>
          <w:sz w:val="18"/>
        </w:rPr>
        <w:t>SEMI 2026 equipment-sales forecast ($139B record) — semi.org</w:t>
      </w:r>
    </w:p>
    <w:p>
      <w:pPr>
        <w:pStyle w:val="ListBullet"/>
      </w:pPr>
      <w:r>
        <w:rPr>
          <w:sz w:val="18"/>
        </w:rPr>
        <w:t>Busch v. Richardson (governance/related-party) — National Law Review; Studicata case brief</w:t>
      </w:r>
    </w:p>
    <w:p>
      <w:pPr>
        <w:pStyle w:val="ListBullet"/>
      </w:pPr>
      <w:r>
        <w:rPr>
          <w:sz w:val="18"/>
        </w:rPr>
        <w:t>Aggregated price/valuation/estimates/insider data — stockanalysis.com, MarketBeat, TipRanks, Nasdaq, GuruFocus</w:t>
      </w:r>
    </w:p>
    <w:p/>
    <w:p>
      <w:r>
        <w:rPr>
          <w:i/>
          <w:color w:val="888888"/>
          <w:sz w:val="17"/>
        </w:rPr>
        <w:t>Disclaimer: This document is a research synthesis prepared for educational and informational purposes only. It is not investment advice, an offer, or a solicitation to buy or sell any security. Figures are drawn from secondary extracts of public sources and may contain errors; verify against primary filings. Do your own due diligence.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