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40"/>
        <w:jc w:val="center"/>
      </w:pPr>
      <w:r>
        <w:rPr>
          <w:b/>
          <w:color w:val="1F2A44"/>
          <w:sz w:val="56"/>
        </w:rPr>
        <w:t>Nokia Corporation</w:t>
      </w:r>
    </w:p>
    <w:p>
      <w:pPr>
        <w:spacing w:after="360"/>
        <w:jc w:val="center"/>
      </w:pPr>
      <w:r>
        <w:rPr>
          <w:b/>
          <w:color w:val="1A5C97"/>
          <w:sz w:val="30"/>
        </w:rPr>
        <w:t>NYSE: NOK   •   Helsinki: NOKIA</w:t>
      </w:r>
    </w:p>
    <w:p>
      <w:pPr>
        <w:spacing w:after="800"/>
        <w:jc w:val="center"/>
      </w:pPr>
      <w:r>
        <w:rPr>
          <w:i/>
          <w:color w:val="555555"/>
          <w:sz w:val="28"/>
        </w:rPr>
        <w:t>An Ultra Deep Dive: Bull Case, Bear Case, Near-Term Catalysts,</w:t>
        <w:br/>
        <w:t>the AI-Infrastructure Pivot, and the NVIDIA Partnership</w:t>
      </w:r>
    </w:p>
    <w:p>
      <w:pPr>
        <w:spacing w:before="200" w:after="80"/>
      </w:pPr>
      <w:r>
        <w:rPr>
          <w:b/>
          <w:color w:val="1A5C97"/>
          <w:sz w:val="25"/>
        </w:rPr>
        <w:t>Snapshot — as of late May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5616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Share price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9"/>
              </w:rPr>
              <w:t>~$14.84 ADR (NYSE) / ~€12.5–14.2 (Helsinki, volatile)</w:t>
            </w:r>
          </w:p>
        </w:tc>
      </w:tr>
      <w:tr>
        <w:tc>
          <w:tcPr>
            <w:tcW w:type="dxa" w:w="3744"/>
            <w:shd w:val="clear" w:color="auto" w:fill="F0F3F7"/>
          </w:tcPr>
          <w:p>
            <w:r/>
            <w:r>
              <w:rPr>
                <w:b w:val="0"/>
                <w:sz w:val="19"/>
              </w:rPr>
              <w:t>Market capitalization</w:t>
            </w:r>
          </w:p>
        </w:tc>
        <w:tc>
          <w:tcPr>
            <w:tcW w:type="dxa" w:w="5616"/>
            <w:shd w:val="clear" w:color="auto" w:fill="F0F3F7"/>
          </w:tcPr>
          <w:p>
            <w:r/>
            <w:r>
              <w:rPr>
                <w:b w:val="0"/>
                <w:sz w:val="19"/>
              </w:rPr>
              <w:t>~$85–88 billion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52-week range (ADR)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9"/>
              </w:rPr>
              <w:t>~$4.00 – $16.63 (up ~120–140% YTD 2026)</w:t>
            </w:r>
          </w:p>
        </w:tc>
      </w:tr>
      <w:tr>
        <w:tc>
          <w:tcPr>
            <w:tcW w:type="dxa" w:w="3744"/>
            <w:shd w:val="clear" w:color="auto" w:fill="F0F3F7"/>
          </w:tcPr>
          <w:p>
            <w:r/>
            <w:r>
              <w:rPr>
                <w:b w:val="0"/>
                <w:sz w:val="19"/>
              </w:rPr>
              <w:t>Shares outstanding</w:t>
            </w:r>
          </w:p>
        </w:tc>
        <w:tc>
          <w:tcPr>
            <w:tcW w:type="dxa" w:w="5616"/>
            <w:shd w:val="clear" w:color="auto" w:fill="F0F3F7"/>
          </w:tcPr>
          <w:p>
            <w:r/>
            <w:r>
              <w:rPr>
                <w:b w:val="0"/>
                <w:sz w:val="19"/>
              </w:rPr>
              <w:t>~5.74 billion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Balance sheet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9"/>
              </w:rPr>
              <w:t>Net cash ~€3.4B (FY25) / ~€3.8B (Q1 26) — net-positive</w:t>
            </w:r>
          </w:p>
        </w:tc>
      </w:tr>
      <w:tr>
        <w:tc>
          <w:tcPr>
            <w:tcW w:type="dxa" w:w="3744"/>
            <w:shd w:val="clear" w:color="auto" w:fill="F0F3F7"/>
          </w:tcPr>
          <w:p>
            <w:r/>
            <w:r>
              <w:rPr>
                <w:b w:val="0"/>
                <w:sz w:val="19"/>
              </w:rPr>
              <w:t>FY2025 revenue</w:t>
            </w:r>
          </w:p>
        </w:tc>
        <w:tc>
          <w:tcPr>
            <w:tcW w:type="dxa" w:w="5616"/>
            <w:shd w:val="clear" w:color="auto" w:fill="F0F3F7"/>
          </w:tcPr>
          <w:p>
            <w:r/>
            <w:r>
              <w:rPr>
                <w:b w:val="0"/>
                <w:sz w:val="19"/>
              </w:rPr>
              <w:t>€19.9B (+3% reported, +2% constant-currency)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FY2025 comparable operating profit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9"/>
              </w:rPr>
              <w:t>~€2.0B; FCF ~€1.5B (72% conversion)</w:t>
            </w:r>
          </w:p>
        </w:tc>
      </w:tr>
      <w:tr>
        <w:tc>
          <w:tcPr>
            <w:tcW w:type="dxa" w:w="3744"/>
            <w:shd w:val="clear" w:color="auto" w:fill="F0F3F7"/>
          </w:tcPr>
          <w:p>
            <w:r/>
            <w:r>
              <w:rPr>
                <w:b w:val="0"/>
                <w:sz w:val="19"/>
              </w:rPr>
              <w:t>2028 target</w:t>
            </w:r>
          </w:p>
        </w:tc>
        <w:tc>
          <w:tcPr>
            <w:tcW w:type="dxa" w:w="5616"/>
            <w:shd w:val="clear" w:color="auto" w:fill="F0F3F7"/>
          </w:tcPr>
          <w:p>
            <w:r/>
            <w:r>
              <w:rPr>
                <w:b w:val="0"/>
                <w:sz w:val="19"/>
              </w:rPr>
              <w:t>Comparable operating profit €2.7–3.2B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Capital return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9"/>
              </w:rPr>
              <w:t>Dividend €0.14/sh (~1.1%); new €1B buyback for 2026</w:t>
            </w:r>
          </w:p>
        </w:tc>
      </w:tr>
      <w:tr>
        <w:tc>
          <w:tcPr>
            <w:tcW w:type="dxa" w:w="3744"/>
            <w:shd w:val="clear" w:color="auto" w:fill="F0F3F7"/>
          </w:tcPr>
          <w:p>
            <w:r/>
            <w:r>
              <w:rPr>
                <w:b w:val="0"/>
                <w:sz w:val="19"/>
              </w:rPr>
              <w:t>Segments (from Jan 2026)</w:t>
            </w:r>
          </w:p>
        </w:tc>
        <w:tc>
          <w:tcPr>
            <w:tcW w:type="dxa" w:w="5616"/>
            <w:shd w:val="clear" w:color="auto" w:fill="F0F3F7"/>
          </w:tcPr>
          <w:p>
            <w:r/>
            <w:r>
              <w:rPr>
                <w:b w:val="0"/>
                <w:sz w:val="19"/>
              </w:rPr>
              <w:t>Network Infrastructure; Mobile Infrastructure; Portfolio Businesses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AI &amp; Cloud orders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9"/>
              </w:rPr>
              <w:t>€2.4B (FY25); ~€1B in Q1 26 alone; ~8% of sales, +49% YoY</w:t>
            </w:r>
          </w:p>
        </w:tc>
      </w:tr>
      <w:tr>
        <w:tc>
          <w:tcPr>
            <w:tcW w:type="dxa" w:w="3744"/>
            <w:shd w:val="clear" w:color="auto" w:fill="F0F3F7"/>
          </w:tcPr>
          <w:p>
            <w:r/>
            <w:r>
              <w:rPr>
                <w:b w:val="0"/>
                <w:sz w:val="19"/>
              </w:rPr>
              <w:t>Key event</w:t>
            </w:r>
          </w:p>
        </w:tc>
        <w:tc>
          <w:tcPr>
            <w:tcW w:type="dxa" w:w="5616"/>
            <w:shd w:val="clear" w:color="auto" w:fill="F0F3F7"/>
          </w:tcPr>
          <w:p>
            <w:r/>
            <w:r>
              <w:rPr>
                <w:b w:val="0"/>
                <w:sz w:val="19"/>
              </w:rPr>
              <w:t>NVIDIA $1B equity investment / 2.9% stake (Oct 2025)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Valuation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19"/>
              </w:rPr>
              <w:t>~90x trailing P/E (transition base); ~3x P/S</w:t>
            </w:r>
          </w:p>
        </w:tc>
      </w:tr>
      <w:tr>
        <w:tc>
          <w:tcPr>
            <w:tcW w:type="dxa" w:w="3744"/>
            <w:shd w:val="clear" w:color="auto" w:fill="F0F3F7"/>
          </w:tcPr>
          <w:p>
            <w:r/>
            <w:r>
              <w:rPr>
                <w:b w:val="0"/>
                <w:sz w:val="19"/>
              </w:rPr>
              <w:t>Sell-side</w:t>
            </w:r>
          </w:p>
        </w:tc>
        <w:tc>
          <w:tcPr>
            <w:tcW w:type="dxa" w:w="5616"/>
            <w:shd w:val="clear" w:color="auto" w:fill="F0F3F7"/>
          </w:tcPr>
          <w:p>
            <w:r/>
            <w:r>
              <w:rPr>
                <w:b w:val="0"/>
                <w:sz w:val="19"/>
              </w:rPr>
              <w:t>Buy consensus; PTs ~€8–14 / $12–16.5 (wide; some below price)</w:t>
            </w:r>
          </w:p>
        </w:tc>
      </w:tr>
    </w:tbl>
    <w:p>
      <w:pPr>
        <w:jc w:val="center"/>
      </w:pPr>
      <w:r>
        <w:rPr>
          <w:i/>
          <w:color w:val="888888"/>
          <w:sz w:val="18"/>
        </w:rPr>
        <w:br/>
        <w:t>Prepared May 30, 2026  •  Research &amp; educational use only — not investment advice</w:t>
      </w:r>
    </w:p>
    <w:p>
      <w:r>
        <w:br w:type="page"/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1.  Executive Summary</w:t>
      </w:r>
    </w:p>
    <w:p>
      <w:r>
        <w:rPr>
          <w:i w:val="0"/>
          <w:sz w:val="21"/>
        </w:rPr>
        <w:t>Nokia is a €19.9B-revenue global networking and telecom-equipment company in the middle of a deliberate repositioning — under new CEO Justin Hotard (ex-Intel Data Center &amp; AI) — from a low-growth 5G/telecom vendor into "one of Europe’s most credible plays on the AI-infrastructure boom." The story is anchored by the Infinera optical acquisition, a $1B equity investment and partnership from NVIDIA, accelerating data-center networking orders, and a high-margin patent-licensing cash machine. The stock has roughly doubled (+120–140%) in 2026 to a 16-year high.</w:t>
      </w:r>
    </w:p>
    <w:p>
      <w:pPr>
        <w:pBdr>
          <w:left w:val="single" w:sz="24" w:space="8" w:color="1A5C97"/>
        </w:pBdr>
        <w:spacing w:before="120" w:after="160"/>
        <w:ind w:left="216"/>
      </w:pPr>
      <w:r>
        <w:rPr>
          <w:b/>
          <w:color w:val="1A5C97"/>
          <w:sz w:val="21"/>
        </w:rPr>
        <w:t xml:space="preserve">THE SETUP:  </w:t>
      </w:r>
      <w:r>
        <w:rPr>
          <w:sz w:val="21"/>
        </w:rPr>
        <w:t>A genuine AI/optical growth engine (Optical +20%, AI &amp; Cloud orders +49%) bolted onto a large, flat, cyclical legacy telecom business — re-rated hard on an AI narrative where AI &amp; Cloud is still only ~8% of sales. Net cash, a €1B buyback, and a high-margin licensing annuity provide ballast.</w:t>
      </w:r>
    </w:p>
    <w:p>
      <w:pPr>
        <w:spacing w:before="200" w:after="80"/>
      </w:pPr>
      <w:r>
        <w:rPr>
          <w:b/>
          <w:color w:val="1B7A3D"/>
          <w:sz w:val="25"/>
        </w:rPr>
        <w:t>The bull case in one paragraph</w:t>
      </w:r>
    </w:p>
    <w:p>
      <w:r>
        <w:rPr>
          <w:i w:val="0"/>
          <w:sz w:val="21"/>
        </w:rPr>
        <w:t>Network Infrastructure is inflecting on AI/data-center demand: Optical (post-Infinera) grew +20% in Q1 2026, AI &amp; Cloud customer revenue +49% with ~€1B of orders in the quarter (€2.4B in FY2025), and management raised 2026 NI growth guidance to 12–14%. The NVIDIA partnership validates the pivot and opens AI-RAN/6G optionality; Nokia is #1 in IP edge routing and the #2 Western optical player. A high-margin ~€1.4B licensing run-rate, €3.4B net cash, a €1B buyback, and a 2028 operating-profit target of €2.7–3.2B (vs ~€2.0B) underpin a sum-of-the-parts re-rating toward AI-infrastructure comps.</w:t>
      </w:r>
    </w:p>
    <w:p>
      <w:pPr>
        <w:spacing w:before="200" w:after="80"/>
      </w:pPr>
      <w:r>
        <w:rPr>
          <w:b/>
          <w:color w:val="A32A2A"/>
          <w:sz w:val="25"/>
        </w:rPr>
        <w:t>The bear case in one paragraph</w:t>
      </w:r>
    </w:p>
    <w:p>
      <w:r>
        <w:rPr>
          <w:i w:val="0"/>
          <w:sz w:val="21"/>
        </w:rPr>
        <w:t>The majority of Nokia is still a flat-to-shrinking, cyclical telecom business: RAN is the #3 also-ran behind Huawei and Ericsson (the $14B AT&amp;T loss still rolling off), global telecom capex is guided down ~2% CAGR through 2027, and Nokia has a long history of guidance cuts (FX-driven in July 2025), lumpy licensing, and serial restructuring (14,000 job cuts in 2023). The AI data-center business is real but small and faces a huge credibility gap versus Arista (~$9B revenue) and NVIDIA (~$8B/quarter networking). After a ~2x run, valuation is stretched (~90x P/E, AI &amp; Cloud only ~8% of sales), several analyst targets sit below the price, and NVIDIA’s shares were issued at $6.01 — well below the current price.</w:t>
      </w:r>
    </w:p>
    <w:p>
      <w:pPr>
        <w:spacing w:before="200" w:after="80"/>
      </w:pPr>
      <w:r>
        <w:rPr>
          <w:b/>
          <w:color w:val="1F2A44"/>
          <w:sz w:val="25"/>
        </w:rPr>
        <w:t>Verdict</w:t>
      </w:r>
    </w:p>
    <w:p>
      <w:r>
        <w:rPr>
          <w:i w:val="0"/>
          <w:sz w:val="21"/>
        </w:rPr>
        <w:t>Nokia is a credible, well-financed AI-infrastructure turnaround with a real optical/IP growth engine, a validating NVIDIA tie-up, and a licensing annuity for ballast — but ~85% of revenue is still legacy telecom, the AI-RAN leg is roadmap not revenue, and the multiple already discounts a lot of the 2028 ambition. It screens as a "own the optical/AI mix-shift and the buyback, but mind the legacy drag and the priced-in narrative" name rather than a clean AI pure-play — better bought on pullbacks than chased at 16-year highs.</w:t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2.  Company Overview &amp; Business Structure</w:t>
      </w:r>
    </w:p>
    <w:p>
      <w:r>
        <w:rPr>
          <w:i w:val="0"/>
          <w:sz w:val="21"/>
        </w:rPr>
        <w:t>Nokia (HQ Espoo, Finland) is a global supplier of telecom and IP networking equipment, optical transport, and patent-licensed technology. Through FY2025 it reported four business groups; effective January 1, 2026 CEO Justin Hotard reorganized it into a leaner structure built around the AI/data-center opportunity.</w:t>
      </w:r>
    </w:p>
    <w:p>
      <w:pPr>
        <w:pBdr>
          <w:left w:val="single" w:sz="24" w:space="8" w:color="1F2A44"/>
        </w:pBdr>
        <w:spacing w:before="120" w:after="160"/>
        <w:ind w:left="216"/>
      </w:pPr>
      <w:r>
        <w:rPr>
          <w:b/>
          <w:color w:val="1F2A44"/>
          <w:sz w:val="21"/>
        </w:rPr>
        <w:t xml:space="preserve">STRUCTURAL CHANGE:  </w:t>
      </w:r>
      <w:r>
        <w:rPr>
          <w:sz w:val="21"/>
        </w:rPr>
        <w:t>From Jan 1, 2026 Nokia reports THREE segments: Network Infrastructure (Optical + IP + Fixed), Mobile Infrastructure (Core Software + Radio Networks + Technology Standards/licensing), and Portfolio Businesses (non-core units under strategic review). FY2025 numbers are on the old four-group basis (Network Infrastructure, Mobile Networks, Cloud &amp; Network Services, Nokia Technologies) — mind the change when comparing periods.</w:t>
      </w:r>
    </w:p>
    <w:p>
      <w:pPr>
        <w:spacing w:before="200" w:after="80"/>
      </w:pPr>
      <w:r>
        <w:rPr>
          <w:b/>
          <w:color w:val="1F2A44"/>
          <w:sz w:val="25"/>
        </w:rPr>
        <w:t>The segments (new structure)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Segment</w:t>
            </w:r>
          </w:p>
        </w:tc>
        <w:tc>
          <w:tcPr>
            <w:tcW w:type="dxa" w:w="5184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AI relevance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Network Infrastructure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IP routing (#1 in IP edge), optical/transport (now incl. Infinera), fixed broadband, submarine. The designated growth engine. Q1 26: Optical €821M (+20%), IP €626M (+3%), Fixed €383M (−13%).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HIGH — the real AI lever (optical/DCI + DC switching).</w:t>
            </w:r>
          </w:p>
        </w:tc>
      </w:tr>
      <w:tr>
        <w:tc>
          <w:tcPr>
            <w:tcW w:type="dxa" w:w="2448"/>
            <w:shd w:val="clear" w:color="auto" w:fill="F0F3F7"/>
          </w:tcPr>
          <w:p>
            <w:r/>
            <w:r>
              <w:rPr>
                <w:b w:val="0"/>
                <w:sz w:val="19"/>
              </w:rPr>
              <w:t>Mobile Infrastructure</w:t>
            </w:r>
          </w:p>
        </w:tc>
        <w:tc>
          <w:tcPr>
            <w:tcW w:type="dxa" w:w="5184"/>
            <w:shd w:val="clear" w:color="auto" w:fill="F0F3F7"/>
          </w:tcPr>
          <w:p>
            <w:r/>
            <w:r>
              <w:rPr>
                <w:b w:val="0"/>
                <w:sz w:val="19"/>
              </w:rPr>
              <w:t>RAN (radio), 5G core software, and Technology Standards (patent licensing, ~€1.4B run-rate). Q1 26 +3%, operating margin 8.9%; Radio flat.</w:t>
            </w:r>
          </w:p>
        </w:tc>
        <w:tc>
          <w:tcPr>
            <w:tcW w:type="dxa" w:w="2448"/>
            <w:shd w:val="clear" w:color="auto" w:fill="F0F3F7"/>
          </w:tcPr>
          <w:p>
            <w:r/>
            <w:r>
              <w:rPr>
                <w:b w:val="0"/>
                <w:sz w:val="19"/>
              </w:rPr>
              <w:t>LOW today / AI-RAN is roadmap (NVIDIA, 2026 trials).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Portfolio Businesses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Non-core units carved out for strategic review: FWA CPE, Site Implementation, Outside Plant, Enterprise Campus Edge, Microwave Radio.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Low — potential divestitures = catalyst.</w:t>
            </w:r>
          </w:p>
        </w:tc>
      </w:tr>
    </w:tbl>
    <w:p>
      <w:r>
        <w:rPr>
          <w:i/>
          <w:color w:val="555555"/>
          <w:sz w:val="19"/>
        </w:rPr>
        <w:t>Infinera (optical) acquired for ~$2.3B, closed Feb 28, 2025 — adds scale, North America reach, and webscale customers (&gt;30% of Infinera’s sales); ~€200M synergy target by 2027 and &gt;10% EPS accretion. Management: CEO Justin Hotard (from April 2025); CFO Marco Wirén.</w:t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3.  Financial Profile</w:t>
      </w:r>
    </w:p>
    <w:p>
      <w:pPr>
        <w:spacing w:before="200" w:after="80"/>
      </w:pPr>
      <w:r>
        <w:rPr>
          <w:b/>
          <w:color w:val="1F2A44"/>
          <w:sz w:val="25"/>
        </w:rPr>
        <w:t>Recent results &amp;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Period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Net sales</w:t>
            </w:r>
          </w:p>
        </w:tc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Comparable op. profit</w:t>
            </w:r>
          </w:p>
        </w:tc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Margin / notes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Q1 2026 (Apr 23, 2026)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€4.5B, +4% YoY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€281M, +54% YoY (beat ~€250M)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Op margin 6.2% (+200bps); FCF €629M; net cash €3.8B</w:t>
            </w:r>
          </w:p>
        </w:tc>
      </w:tr>
      <w:tr>
        <w:tc>
          <w:tcPr>
            <w:tcW w:type="dxa" w:w="2304"/>
            <w:shd w:val="clear" w:color="auto" w:fill="F0F3F7"/>
          </w:tcPr>
          <w:p>
            <w:r/>
            <w:r>
              <w:rPr>
                <w:b w:val="0"/>
                <w:sz w:val="19"/>
              </w:rPr>
              <w:t>FY2025 (Jan 29, 2026)</w:t>
            </w:r>
          </w:p>
        </w:tc>
        <w:tc>
          <w:tcPr>
            <w:tcW w:type="dxa" w:w="2160"/>
            <w:shd w:val="clear" w:color="auto" w:fill="F0F3F7"/>
          </w:tcPr>
          <w:p>
            <w:r/>
            <w:r>
              <w:rPr>
                <w:b w:val="0"/>
                <w:sz w:val="19"/>
              </w:rPr>
              <w:t>€19.9B, +3% rep / +2% cc</w:t>
            </w:r>
          </w:p>
        </w:tc>
        <w:tc>
          <w:tcPr>
            <w:tcW w:type="dxa" w:w="2448"/>
            <w:shd w:val="clear" w:color="auto" w:fill="F0F3F7"/>
          </w:tcPr>
          <w:p>
            <w:r/>
            <w:r>
              <w:rPr>
                <w:b w:val="0"/>
                <w:sz w:val="19"/>
              </w:rPr>
              <w:t>~€2.0B</w:t>
            </w:r>
          </w:p>
        </w:tc>
        <w:tc>
          <w:tcPr>
            <w:tcW w:type="dxa" w:w="2448"/>
            <w:shd w:val="clear" w:color="auto" w:fill="F0F3F7"/>
          </w:tcPr>
          <w:p>
            <w:r/>
            <w:r>
              <w:rPr>
                <w:b w:val="0"/>
                <w:sz w:val="19"/>
              </w:rPr>
              <w:t>FCF €1.5B (72% conv.); net cash €3.4B; comp. EPS €0.29 / GAAP €0.12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FY2026 guidance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growth (NI +12–14%)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€2.0–2.5B (tracking &gt; midpoint)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Optical+IP +18–20%; FCF conv. 55–75%</w:t>
            </w:r>
          </w:p>
        </w:tc>
      </w:tr>
      <w:tr>
        <w:tc>
          <w:tcPr>
            <w:tcW w:type="dxa" w:w="2304"/>
            <w:shd w:val="clear" w:color="auto" w:fill="F0F3F7"/>
          </w:tcPr>
          <w:p>
            <w:r/>
            <w:r>
              <w:rPr>
                <w:b w:val="0"/>
                <w:sz w:val="19"/>
              </w:rPr>
              <w:t>2028 target (CMD Nov 2025)</w:t>
            </w:r>
          </w:p>
        </w:tc>
        <w:tc>
          <w:tcPr>
            <w:tcW w:type="dxa" w:w="2160"/>
            <w:shd w:val="clear" w:color="auto" w:fill="F0F3F7"/>
          </w:tcPr>
          <w:p>
            <w:r/>
            <w:r>
              <w:rPr>
                <w:b w:val="0"/>
                <w:sz w:val="19"/>
              </w:rPr>
              <w:t>6–8% NI CAGR</w:t>
            </w:r>
          </w:p>
        </w:tc>
        <w:tc>
          <w:tcPr>
            <w:tcW w:type="dxa" w:w="2448"/>
            <w:shd w:val="clear" w:color="auto" w:fill="F0F3F7"/>
          </w:tcPr>
          <w:p>
            <w:r/>
            <w:r>
              <w:rPr>
                <w:b w:val="0"/>
                <w:sz w:val="19"/>
              </w:rPr>
              <w:t>€2.7–3.2B</w:t>
            </w:r>
          </w:p>
        </w:tc>
        <w:tc>
          <w:tcPr>
            <w:tcW w:type="dxa" w:w="2448"/>
            <w:shd w:val="clear" w:color="auto" w:fill="F0F3F7"/>
          </w:tcPr>
          <w:p>
            <w:r/>
            <w:r>
              <w:rPr>
                <w:b w:val="0"/>
                <w:sz w:val="19"/>
              </w:rPr>
              <w:t>NI margin 13–17%; Group Common opex cut to €150M</w:t>
            </w:r>
          </w:p>
        </w:tc>
      </w:tr>
    </w:tbl>
    <w:p>
      <w:r>
        <w:rPr>
          <w:i/>
          <w:color w:val="555555"/>
          <w:sz w:val="19"/>
        </w:rPr>
        <w:t>AI &amp; Cloud customer orders were ~€2.4B in FY2025 and ~€1B in Q1 2026 alone (+49% YoY), now ~8% of group sales and the fastest-growing demand pool. Mind two reporting wrinkles: comparable vs reported figures, and the EUR reporting base against heavy USD revenue (a recurring FX swing factor).</w:t>
      </w:r>
    </w:p>
    <w:p>
      <w:pPr>
        <w:spacing w:before="200" w:after="80"/>
      </w:pPr>
      <w:r>
        <w:rPr>
          <w:b/>
          <w:color w:val="1F2A44"/>
          <w:sz w:val="25"/>
        </w:rPr>
        <w:t>Balance sheet &amp; capital return</w:t>
      </w:r>
    </w:p>
    <w:p>
      <w:pPr>
        <w:pStyle w:val="ListBullet"/>
      </w:pPr>
      <w:r>
        <w:rPr>
          <w:b/>
        </w:rPr>
        <w:t xml:space="preserve">Net cash: </w:t>
      </w:r>
      <w:r>
        <w:t>Net-positive: ~€3.4B net cash (FY25), ~€3.8B (Q1 26). Investment-grade, ample liquidity.</w:t>
      </w:r>
    </w:p>
    <w:p>
      <w:pPr>
        <w:pStyle w:val="ListBullet"/>
      </w:pPr>
      <w:r>
        <w:rPr>
          <w:b/>
        </w:rPr>
        <w:t xml:space="preserve">Capital return: </w:t>
      </w:r>
      <w:r>
        <w:t>Proposed €0.14/share (~1.1% yield) plus a new €1B buyback program for 2026 (authorization up to 550M shares to Oct 2027).</w:t>
      </w:r>
    </w:p>
    <w:p>
      <w:pPr>
        <w:pStyle w:val="ListBullet"/>
      </w:pPr>
      <w:r>
        <w:rPr>
          <w:b/>
        </w:rPr>
        <w:t xml:space="preserve">Licensing annuity: </w:t>
      </w:r>
      <w:r>
        <w:t>~€1.4B contracted annual run-rate, very high margin; smartphone renewal cycle complete (no majors expiring for years); expanding into auto, IoT (ADT), video (Amazon).</w:t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4.  The Bull Case</w:t>
      </w:r>
    </w:p>
    <w:p>
      <w:pPr>
        <w:spacing w:before="200" w:after="80"/>
      </w:pPr>
      <w:r>
        <w:rPr>
          <w:b/>
          <w:color w:val="1B7A3D"/>
          <w:sz w:val="25"/>
        </w:rPr>
        <w:t>4.1  Network Infrastructure inflecting on AI / data center</w:t>
      </w:r>
    </w:p>
    <w:p>
      <w:pPr>
        <w:pStyle w:val="ListBullet"/>
      </w:pPr>
      <w:r>
        <w:rPr>
          <w:b/>
        </w:rPr>
        <w:t xml:space="preserve">Optical (post-Infinera): </w:t>
      </w:r>
      <w:r>
        <w:t>Optical +20% in Q1 2026 (+17% FY2025 cc), "driven by data centers and AI workloads"; new 800G ZR/ZR+ and 1.6T-capable coherent pluggables shipping.</w:t>
      </w:r>
    </w:p>
    <w:p>
      <w:pPr>
        <w:pStyle w:val="ListBullet"/>
      </w:pPr>
      <w:r>
        <w:rPr>
          <w:b/>
        </w:rPr>
        <w:t xml:space="preserve">AI &amp; Cloud: </w:t>
      </w:r>
      <w:r>
        <w:t>AI &amp; Cloud customer revenue +49% YoY; ~€1B orders in Q1 (€2.4B in FY2025); book-to-bill well above 1.</w:t>
      </w:r>
    </w:p>
    <w:p>
      <w:pPr>
        <w:pStyle w:val="ListBullet"/>
      </w:pPr>
      <w:r>
        <w:rPr>
          <w:b/>
        </w:rPr>
        <w:t xml:space="preserve">Guidance raise: </w:t>
      </w:r>
      <w:r>
        <w:t>Management raised 2026 NI growth guidance to 12–14% (from 6–8%) and Optical+IP to 18–20% — a rare guidance raise.</w:t>
      </w:r>
    </w:p>
    <w:p>
      <w:pPr>
        <w:pStyle w:val="ListBullet"/>
      </w:pPr>
      <w:r>
        <w:rPr>
          <w:b/>
        </w:rPr>
        <w:t xml:space="preserve">IP routing: </w:t>
      </w:r>
      <w:r>
        <w:t>#1 globally in IP edge routing; Microsoft cited as a marquee data-center networking customer; SR Linux + 7250/7220 IXR switch portfolio.</w:t>
      </w:r>
    </w:p>
    <w:p>
      <w:pPr>
        <w:spacing w:before="200" w:after="80"/>
      </w:pPr>
      <w:r>
        <w:rPr>
          <w:b/>
          <w:color w:val="1B7A3D"/>
          <w:sz w:val="25"/>
        </w:rPr>
        <w:t>4.2  The NVIDIA partnership &amp; validation</w:t>
      </w:r>
    </w:p>
    <w:p>
      <w:pPr>
        <w:pStyle w:val="ListBullet"/>
      </w:pPr>
      <w:r>
        <w:t>$1B (€0.86B) equity investment / 2.9% stake (Oct 2025); co-develop AI-RAN/6G on NVIDIA ARC-Pro; explore Nokia DC switching + optical inside NVIDIA AI infrastructure; T-Mobile US trials. Stock jumped ~22% on the news — its biggest intraday gain in a decade.</w:t>
      </w:r>
    </w:p>
    <w:p>
      <w:pPr>
        <w:spacing w:before="200" w:after="80"/>
      </w:pPr>
      <w:r>
        <w:rPr>
          <w:b/>
          <w:color w:val="1B7A3D"/>
          <w:sz w:val="25"/>
        </w:rPr>
        <w:t>4.3  New CEO &amp; the AI-infrastructure strategy</w:t>
      </w:r>
    </w:p>
    <w:p>
      <w:pPr>
        <w:pStyle w:val="ListBullet"/>
      </w:pPr>
      <w:r>
        <w:t>Justin Hotard (ex-Intel Data Center &amp; AI) ran the Nov 2025 Capital Markets Day: new two-segment operating model, AI &amp; Cloud TAM CAGR raised to 27%, and a 2028 operating-profit target of €2.7–3.2B (vs ~€2.0B), with Group Common opex cut to €150M.</w:t>
      </w:r>
    </w:p>
    <w:p>
      <w:pPr>
        <w:pStyle w:val="ListBullet"/>
      </w:pPr>
      <w:r>
        <w:t>New AI Networking Innovation Lab (Sunnyvale, May 2026) with AMD, Keysight, Lenovo, Supermicro, Weka and others — stock +~9% on the day.</w:t>
      </w:r>
    </w:p>
    <w:p>
      <w:pPr>
        <w:spacing w:before="200" w:after="80"/>
      </w:pPr>
      <w:r>
        <w:rPr>
          <w:b/>
          <w:color w:val="1B7A3D"/>
          <w:sz w:val="25"/>
        </w:rPr>
        <w:t>4.4  Licensing cash machine &amp; balance sheet</w:t>
      </w:r>
    </w:p>
    <w:p>
      <w:pPr>
        <w:pStyle w:val="ListBullet"/>
      </w:pPr>
      <w:r>
        <w:t>~€1.4B high-margin, recurring licensing run-rate with multi-year visibility; €3.4B net cash; €1B buyback — real ballast and capital return beneath the growth optionality.</w:t>
      </w:r>
    </w:p>
    <w:p>
      <w:pPr>
        <w:spacing w:before="200" w:after="80"/>
      </w:pPr>
      <w:r>
        <w:rPr>
          <w:b/>
          <w:color w:val="1B7A3D"/>
          <w:sz w:val="25"/>
        </w:rPr>
        <w:t>4.5  Other legs</w:t>
      </w:r>
    </w:p>
    <w:p>
      <w:pPr>
        <w:pStyle w:val="ListBullet"/>
      </w:pPr>
      <w:r>
        <w:t>5G Standalone core leadership (127 operator customers); 750+ private-wireless customers; an emerging defense tailwind (Lockheed Martin + Nokia Federal 5G for the US DoW, May 2026; European defense spending).</w:t>
      </w:r>
    </w:p>
    <w:p>
      <w:pPr>
        <w:spacing w:before="200" w:after="80"/>
      </w:pPr>
      <w:r>
        <w:rPr>
          <w:b/>
          <w:color w:val="1B7A3D"/>
          <w:sz w:val="25"/>
        </w:rPr>
        <w:t>4.6  Sum-of-the-parts re-rating</w:t>
      </w:r>
    </w:p>
    <w:p>
      <w:pPr>
        <w:pStyle w:val="ListBullet"/>
      </w:pPr>
      <w:r>
        <w:t>The sell-side bull case (BofA SOTP, CFRA, JPM, Morgan Stanley) is to value high-growth Optical/IP + recurring licensing separately from low-multiple Mobile — moving Nokia toward AI-infrastructure comps; added upside from Huawei/ZTE rip-and-replace in Europe.</w:t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5.  The Bear Case</w:t>
      </w:r>
    </w:p>
    <w:p>
      <w:pPr>
        <w:spacing w:before="200" w:after="80"/>
      </w:pPr>
      <w:r>
        <w:rPr>
          <w:b/>
          <w:color w:val="A32A2A"/>
          <w:sz w:val="25"/>
        </w:rPr>
        <w:t>5.1  RAN / Mobile is flat-to-shrinking and Nokia is #3</w:t>
      </w:r>
    </w:p>
    <w:p>
      <w:pPr>
        <w:pStyle w:val="ListBullet"/>
      </w:pPr>
      <w:r>
        <w:t>Nokia is #3 in RAN behind Huawei (#1) and Ericsson (#2), who together hold ~two-thirds of the market. The RAN market lost ~20% of its value 2022–2024 and only "stabilized" in 2025 — no growth expected until 6G.</w:t>
      </w:r>
    </w:p>
    <w:p>
      <w:pPr>
        <w:pStyle w:val="ListBullet"/>
      </w:pPr>
      <w:r>
        <w:t>The $14B AT&amp;T Open-RAN award to Ericsson (Dec 2023) is still displacing Nokia gear (AT&amp;T was ~5–8% of sales). Q1 2026 Radio growth was flat.</w:t>
      </w:r>
    </w:p>
    <w:p>
      <w:pPr>
        <w:spacing w:before="200" w:after="80"/>
      </w:pPr>
      <w:r>
        <w:rPr>
          <w:b/>
          <w:color w:val="A32A2A"/>
          <w:sz w:val="25"/>
        </w:rPr>
        <w:t>5.2  Telecom capex is in secular decline</w:t>
      </w:r>
    </w:p>
    <w:p>
      <w:pPr>
        <w:pStyle w:val="ListBullet"/>
      </w:pPr>
      <w:r>
        <w:t>Global telecom capex fell ~8% in 2024 and is projected to decline ~2% CAGR through 2027 (Dell’Oro). The bulk of Nokia’s revenue sells into this shrinking carrier-capex pool — the AI/data-center growth is real but small against that backdrop.</w:t>
      </w:r>
    </w:p>
    <w:p>
      <w:pPr>
        <w:spacing w:before="200" w:after="80"/>
      </w:pPr>
      <w:r>
        <w:rPr>
          <w:b/>
          <w:color w:val="A32A2A"/>
          <w:sz w:val="25"/>
        </w:rPr>
        <w:t>5.3  A history of guidance cuts, FX swings &amp; lumpy licensing</w:t>
      </w:r>
    </w:p>
    <w:p>
      <w:pPr>
        <w:pStyle w:val="ListBullet"/>
      </w:pPr>
      <w:r>
        <w:rPr>
          <w:b/>
        </w:rPr>
        <w:t xml:space="preserve">FX: </w:t>
      </w:r>
      <w:r>
        <w:t>July 2025: comparable operating-profit guidance cut to €1.6–2.1B (from €1.9–2.4B) on a ~€230M FX hit + €50–80M tariffs. Reports in EUR, earns heavily in USD — a recurring swing factor.</w:t>
      </w:r>
    </w:p>
    <w:p>
      <w:pPr>
        <w:pStyle w:val="ListBullet"/>
      </w:pPr>
      <w:r>
        <w:rPr>
          <w:b/>
        </w:rPr>
        <w:t xml:space="preserve">Licensing: </w:t>
      </w:r>
      <w:r>
        <w:t>Licensing is lumpy and inflated by one-off catch-ups (Q1 2024 Technologies +216%); the 2023 outlook was missed when renewal talks slipped. 2025 licensing fell YoY on fewer catch-ups.</w:t>
      </w:r>
    </w:p>
    <w:p>
      <w:pPr>
        <w:pStyle w:val="ListBullet"/>
      </w:pPr>
      <w:r>
        <w:rPr>
          <w:b/>
        </w:rPr>
        <w:t xml:space="preserve">Restructuring: </w:t>
      </w:r>
      <w:r>
        <w:t>14,000 job cuts announced in 2023 (plus more in 2024); a long pattern of setting and resetting targets.</w:t>
      </w:r>
    </w:p>
    <w:p>
      <w:pPr>
        <w:spacing w:before="200" w:after="80"/>
      </w:pPr>
      <w:r>
        <w:rPr>
          <w:b/>
          <w:color w:val="A32A2A"/>
          <w:sz w:val="25"/>
        </w:rPr>
        <w:t>5.4  The AI / data-center credibility gap</w:t>
      </w:r>
    </w:p>
    <w:p>
      <w:pPr>
        <w:pStyle w:val="ListBullet"/>
      </w:pPr>
      <w:r>
        <w:t>Nokia’s ambition is only ~€1B incremental DC revenue by 2028 — tiny next to Arista (~$9B revenue), NVIDIA networking (~$8B/quarter), and Cisco. AI &amp; Cloud is still only ~8% of sales today.</w:t>
      </w:r>
    </w:p>
    <w:p>
      <w:pPr>
        <w:pStyle w:val="ListBullet"/>
      </w:pPr>
      <w:r>
        <w:t>NVIDIA is partner AND the dominant networking competitor (Spectrum-X); the DC switching/optical "integration" is non-binding exploration. AI-RAN faces real operator skepticism on GPU economics (Vodafone, Verizon, Orange, Bell).</w:t>
      </w:r>
    </w:p>
    <w:p>
      <w:pPr>
        <w:spacing w:before="200" w:after="80"/>
      </w:pPr>
      <w:r>
        <w:rPr>
          <w:b/>
          <w:color w:val="A32A2A"/>
          <w:sz w:val="25"/>
        </w:rPr>
        <w:t>5.5  Integration &amp; valuation risk</w:t>
      </w:r>
    </w:p>
    <w:p>
      <w:pPr>
        <w:pStyle w:val="ListBullet"/>
      </w:pPr>
      <w:r>
        <w:rPr>
          <w:b/>
        </w:rPr>
        <w:t xml:space="preserve">Infinera/goodwill: </w:t>
      </w:r>
      <w:r>
        <w:t>Infinera ($2.3B) lifted goodwill to ~€6.4B — impairment exposure if AI-optical demand or €200M synergies disappoint.</w:t>
      </w:r>
    </w:p>
    <w:p>
      <w:pPr>
        <w:pStyle w:val="ListBullet"/>
      </w:pPr>
      <w:r>
        <w:rPr>
          <w:b/>
        </w:rPr>
        <w:t xml:space="preserve">Valuation: </w:t>
      </w:r>
      <w:r>
        <w:t>After a ~2x run: ~90x trailing P/E, ~3x P/S, with several analyst targets (e.g., Barclays Underweight €8) below the price; some model fair value far lower. NVIDIA’s shares were issued at $6.01 — a large paper gain at existing holders’ partial expense. Short interest is low (~1.2%), so no squeeze cushion.</w:t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6.  The AI Secular Tailwind — How Real Is It?</w:t>
      </w:r>
    </w:p>
    <w:p>
      <w:r>
        <w:rPr>
          <w:i/>
          <w:sz w:val="21"/>
        </w:rPr>
        <w:t>Assessment: Nokia is a genuine but partial and diluted AI beneficiary — roughly 10–15% of revenue is truly AI/data-center-levered today (and rising fast), bundled inside a large legacy telecom business. Sorted into tiers:</w:t>
      </w:r>
    </w:p>
    <w:p>
      <w:pPr>
        <w:spacing w:before="200" w:after="80"/>
      </w:pPr>
      <w:r>
        <w:rPr>
          <w:b/>
          <w:color w:val="1B7A3D"/>
          <w:sz w:val="25"/>
        </w:rPr>
        <w:t>Tier 1 — Genuine, accelerating, in the numbers: optical/DCI + IP/DC switching</w:t>
      </w:r>
    </w:p>
    <w:p>
      <w:pPr>
        <w:pStyle w:val="ListBullet"/>
      </w:pPr>
      <w:r>
        <w:rPr>
          <w:b/>
        </w:rPr>
        <w:t xml:space="preserve">The real lever: </w:t>
      </w:r>
      <w:r>
        <w:t>Infinera makes Nokia the #2 Western optical player; AI training-cluster interconnect (800G→1.6T coherent) is the fastest-growing DCI category. Optical +20% in Q1, AI &amp; Cloud orders ~€1B/quarter, +49% YoY. This is the substantive, mechanism-backed AI lever — real bookings, not promises.</w:t>
      </w:r>
    </w:p>
    <w:p>
      <w:pPr>
        <w:pBdr>
          <w:left w:val="single" w:sz="24" w:space="8" w:color="1B7A3D"/>
        </w:pBdr>
        <w:spacing w:before="120" w:after="160"/>
        <w:ind w:left="216"/>
      </w:pPr>
      <w:r>
        <w:rPr>
          <w:b/>
          <w:color w:val="1B7A3D"/>
          <w:sz w:val="21"/>
        </w:rPr>
        <w:t xml:space="preserve">CAVEAT:  </w:t>
      </w:r>
      <w:r>
        <w:rPr>
          <w:sz w:val="21"/>
        </w:rPr>
        <w:t>Even so, AI &amp; Cloud is only ~8% of group sales; the ~10–15% AI-levered estimate (incl. DC switching) is an analyst synthesis, not a Nokia-disclosed figure.</w:t>
      </w:r>
    </w:p>
    <w:p>
      <w:pPr>
        <w:spacing w:before="200" w:after="80"/>
      </w:pPr>
      <w:r>
        <w:rPr>
          <w:b/>
          <w:color w:val="1A5C97"/>
          <w:sz w:val="25"/>
        </w:rPr>
        <w:t>Tier 2 — Real validation, modest financials today: the NVIDIA tie-up</w:t>
      </w:r>
    </w:p>
    <w:p>
      <w:pPr>
        <w:pStyle w:val="ListBullet"/>
      </w:pPr>
      <w:r>
        <w:rPr>
          <w:b/>
        </w:rPr>
        <w:t xml:space="preserve">Signal &gt; revenue: </w:t>
      </w:r>
      <w:r>
        <w:t>The $1B investment / 2.9% stake is closed and strategically validating, and opens a hyperscaler-grade GTM channel. But the data-center-hardware "integration" is non-binding exploration, and the cash is small versus an $85B+ market cap — strong as a signal, not yet as a revenue line.</w:t>
      </w:r>
    </w:p>
    <w:p>
      <w:pPr>
        <w:spacing w:before="200" w:after="80"/>
      </w:pPr>
      <w:r>
        <w:rPr>
          <w:b/>
          <w:color w:val="A32A2A"/>
          <w:sz w:val="25"/>
        </w:rPr>
        <w:t>Tier 3 — Roadmap / narrative: AI-RAN &amp; 6G</w:t>
      </w:r>
    </w:p>
    <w:p>
      <w:pPr>
        <w:pStyle w:val="ListBullet"/>
      </w:pPr>
      <w:r>
        <w:rPr>
          <w:b/>
        </w:rPr>
        <w:t xml:space="preserve">Pre-revenue: </w:t>
      </w:r>
      <w:r>
        <w:t>AI-RAN (running RAN on GPUs) is heavily marketed (a claimed &gt;$200B-by-2030 TAM) but is pre-revenue: trials in 2026, commercial ~2027, tied to the 6G cycle (~2028–2030). Multiple operators (Vodafone, Verizon, Orange, Bell) publicly question the GPU TCO/business case. This is the lowest-conviction, most narrative-heavy leg.</w:t>
      </w:r>
    </w:p>
    <w:p>
      <w:pPr>
        <w:spacing w:before="200" w:after="80"/>
      </w:pPr>
      <w:r>
        <w:rPr>
          <w:b/>
          <w:color w:val="1F2A44"/>
          <w:sz w:val="25"/>
        </w:rPr>
        <w:t>Versus the pure-plays</w:t>
      </w:r>
    </w:p>
    <w:p>
      <w:r>
        <w:rPr>
          <w:i w:val="0"/>
          <w:sz w:val="21"/>
        </w:rPr>
        <w:t>Arista raised its 2026 AI revenue target to $3.25B; Ciena (FY26 guide $5.9–6.3B) is the #1 Western coherent/DCI optical pure-play with cloud ~42% of revenue; Coherent is an AI-optics component pure-play. Nokia gives you diluted but improving AI exposure inside a large legacy telecom business — the thesis is "rising AI mix + margin expansion + NVIDIA validation," not a clean AI pure-play. Be skeptical of framing Nokia as "an AI stock."</w:t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7.  Near-Term Catalysts (Next 3–12 Months)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Catalyst</w:t>
            </w:r>
          </w:p>
        </w:tc>
        <w:tc>
          <w:tcPr>
            <w:tcW w:type="dxa" w:w="252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Timing</w:t>
            </w:r>
          </w:p>
        </w:tc>
        <w:tc>
          <w:tcPr>
            <w:tcW w:type="dxa" w:w="4536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Q2 2026 earnings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July 23, 2026 (per aggregators)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9"/>
              </w:rPr>
              <w:t>The key proof-point on whether AI/optical momentum (Optical +20%, AI &amp; Cloud +49%, ~€1B orders) sustains. Consensus ~$0.07 EPS / ~$5.6B rev; guide is +5–9% QoQ sales.</w:t>
            </w:r>
          </w:p>
        </w:tc>
      </w:tr>
      <w:tr>
        <w:tc>
          <w:tcPr>
            <w:tcW w:type="dxa" w:w="2304"/>
            <w:shd w:val="clear" w:color="auto" w:fill="F0F3F7"/>
          </w:tcPr>
          <w:p>
            <w:r/>
            <w:r>
              <w:rPr>
                <w:b w:val="0"/>
                <w:sz w:val="19"/>
              </w:rPr>
              <w:t>NVIDIA AI-RAN rollout</w:t>
            </w:r>
          </w:p>
        </w:tc>
        <w:tc>
          <w:tcPr>
            <w:tcW w:type="dxa" w:w="2520"/>
            <w:shd w:val="clear" w:color="auto" w:fill="F0F3F7"/>
          </w:tcPr>
          <w:p>
            <w:r/>
            <w:r>
              <w:rPr>
                <w:b w:val="0"/>
                <w:sz w:val="19"/>
              </w:rPr>
              <w:t>Trials "later in 2026"; commercial ~2027</w:t>
            </w:r>
          </w:p>
        </w:tc>
        <w:tc>
          <w:tcPr>
            <w:tcW w:type="dxa" w:w="4536"/>
            <w:shd w:val="clear" w:color="auto" w:fill="F0F3F7"/>
          </w:tcPr>
          <w:p>
            <w:r/>
            <w:r>
              <w:rPr>
                <w:b w:val="0"/>
                <w:sz w:val="19"/>
              </w:rPr>
              <w:t>10+ committed operators (BT, DOCOMO, Vodafone, Orange, T-Mobile US). MWC 2026 showed GPU-accelerated AI-RAN tests. Milestones = sentiment drivers.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Data-center / hyperscaler wins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Ongoing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9"/>
              </w:rPr>
              <w:t>Named hyperscaler logos and order conversion (Microsoft is the flagship); watch the ~€1B/quarter order pace.</w:t>
            </w:r>
          </w:p>
        </w:tc>
      </w:tr>
      <w:tr>
        <w:tc>
          <w:tcPr>
            <w:tcW w:type="dxa" w:w="2304"/>
            <w:shd w:val="clear" w:color="auto" w:fill="F0F3F7"/>
          </w:tcPr>
          <w:p>
            <w:r/>
            <w:r>
              <w:rPr>
                <w:b w:val="0"/>
                <w:sz w:val="19"/>
              </w:rPr>
              <w:t>Portfolio divestitures</w:t>
            </w:r>
          </w:p>
        </w:tc>
        <w:tc>
          <w:tcPr>
            <w:tcW w:type="dxa" w:w="2520"/>
            <w:shd w:val="clear" w:color="auto" w:fill="F0F3F7"/>
          </w:tcPr>
          <w:p>
            <w:r/>
            <w:r>
              <w:rPr>
                <w:b w:val="0"/>
                <w:sz w:val="19"/>
              </w:rPr>
              <w:t>2026</w:t>
            </w:r>
          </w:p>
        </w:tc>
        <w:tc>
          <w:tcPr>
            <w:tcW w:type="dxa" w:w="4536"/>
            <w:shd w:val="clear" w:color="auto" w:fill="F0F3F7"/>
          </w:tcPr>
          <w:p>
            <w:r/>
            <w:r>
              <w:rPr>
                <w:b w:val="0"/>
                <w:sz w:val="19"/>
              </w:rPr>
              <w:t>Non-core "Portfolio Businesses" (FWA CPE, Microwave, etc.) carved out for value-creating options — potential sales.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Capital return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Quarterly + €1B buyback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9"/>
              </w:rPr>
              <w:t>Buyback pace and dividend; net cash supports it. Possible bolt-on M&amp;A in data-center networking.</w:t>
            </w:r>
          </w:p>
        </w:tc>
      </w:tr>
      <w:tr>
        <w:tc>
          <w:tcPr>
            <w:tcW w:type="dxa" w:w="2304"/>
            <w:shd w:val="clear" w:color="auto" w:fill="F0F3F7"/>
          </w:tcPr>
          <w:p>
            <w:r/>
            <w:r>
              <w:rPr>
                <w:b w:val="0"/>
                <w:sz w:val="19"/>
              </w:rPr>
              <w:t>Licensing / defense</w:t>
            </w:r>
          </w:p>
        </w:tc>
        <w:tc>
          <w:tcPr>
            <w:tcW w:type="dxa" w:w="2520"/>
            <w:shd w:val="clear" w:color="auto" w:fill="F0F3F7"/>
          </w:tcPr>
          <w:p>
            <w:r/>
            <w:r>
              <w:rPr>
                <w:b w:val="0"/>
                <w:sz w:val="19"/>
              </w:rPr>
              <w:t>Ongoing</w:t>
            </w:r>
          </w:p>
        </w:tc>
        <w:tc>
          <w:tcPr>
            <w:tcW w:type="dxa" w:w="4536"/>
            <w:shd w:val="clear" w:color="auto" w:fill="F0F3F7"/>
          </w:tcPr>
          <w:p>
            <w:r/>
            <w:r>
              <w:rPr>
                <w:b w:val="0"/>
                <w:sz w:val="19"/>
              </w:rPr>
              <w:t>New licensees (auto/IoT/video) and arbitration outcomes; European defense + US DoW (Lockheed) 5G as an emerging tailwind.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Telecom capex / 6G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2026–2028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9"/>
              </w:rPr>
              <w:t>Headwind near-term (capex −2%); the 6G cycle (~2028–2030) is the longer-dated RAN catalyst.</w:t>
            </w:r>
          </w:p>
        </w:tc>
      </w:tr>
    </w:tbl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8.  Bull/Bear Scorecard &amp; What Would Change the Thesis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3816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Bull read</w:t>
            </w:r>
          </w:p>
        </w:tc>
        <w:tc>
          <w:tcPr>
            <w:tcW w:type="dxa" w:w="3816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Bear read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Growth</w:t>
            </w:r>
          </w:p>
        </w:tc>
        <w:tc>
          <w:tcPr>
            <w:tcW w:type="dxa" w:w="3816"/>
          </w:tcPr>
          <w:p>
            <w:r/>
            <w:r>
              <w:rPr>
                <w:b w:val="0"/>
                <w:sz w:val="19"/>
              </w:rPr>
              <w:t>Optical +20%, AI &amp; Cloud +49%, NI guide raised to 12–14%</w:t>
            </w:r>
          </w:p>
        </w:tc>
        <w:tc>
          <w:tcPr>
            <w:tcW w:type="dxa" w:w="3816"/>
          </w:tcPr>
          <w:p>
            <w:r/>
            <w:r>
              <w:rPr>
                <w:b w:val="0"/>
                <w:sz w:val="19"/>
              </w:rPr>
              <w:t>Overall +2–4%; majority is flat legacy telecom</w:t>
            </w:r>
          </w:p>
        </w:tc>
      </w:tr>
      <w:tr>
        <w:tc>
          <w:tcPr>
            <w:tcW w:type="dxa" w:w="1728"/>
            <w:shd w:val="clear" w:color="auto" w:fill="F0F3F7"/>
          </w:tcPr>
          <w:p>
            <w:r/>
            <w:r>
              <w:rPr>
                <w:b w:val="0"/>
                <w:sz w:val="19"/>
              </w:rPr>
              <w:t>AI exposure</w:t>
            </w:r>
          </w:p>
        </w:tc>
        <w:tc>
          <w:tcPr>
            <w:tcW w:type="dxa" w:w="3816"/>
            <w:shd w:val="clear" w:color="auto" w:fill="F0F3F7"/>
          </w:tcPr>
          <w:p>
            <w:r/>
            <w:r>
              <w:rPr>
                <w:b w:val="0"/>
                <w:sz w:val="19"/>
              </w:rPr>
              <w:t>~10–15% AI-levered &amp; rising; #2 Western optical</w:t>
            </w:r>
          </w:p>
        </w:tc>
        <w:tc>
          <w:tcPr>
            <w:tcW w:type="dxa" w:w="3816"/>
            <w:shd w:val="clear" w:color="auto" w:fill="F0F3F7"/>
          </w:tcPr>
          <w:p>
            <w:r/>
            <w:r>
              <w:rPr>
                <w:b w:val="0"/>
                <w:sz w:val="19"/>
              </w:rPr>
              <w:t>Only ~8% AI &amp; Cloud; huge gap vs Arista/NVIDIA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Mobile/RAN</w:t>
            </w:r>
          </w:p>
        </w:tc>
        <w:tc>
          <w:tcPr>
            <w:tcW w:type="dxa" w:w="3816"/>
          </w:tcPr>
          <w:p>
            <w:r/>
            <w:r>
              <w:rPr>
                <w:b w:val="0"/>
                <w:sz w:val="19"/>
              </w:rPr>
              <w:t>Margin discipline; 5G SA + private wireless leadership</w:t>
            </w:r>
          </w:p>
        </w:tc>
        <w:tc>
          <w:tcPr>
            <w:tcW w:type="dxa" w:w="3816"/>
          </w:tcPr>
          <w:p>
            <w:r/>
            <w:r>
              <w:rPr>
                <w:b w:val="0"/>
                <w:sz w:val="19"/>
              </w:rPr>
              <w:t>#3 behind Huawei/Ericsson; AT&amp;T loss; flat market</w:t>
            </w:r>
          </w:p>
        </w:tc>
      </w:tr>
      <w:tr>
        <w:tc>
          <w:tcPr>
            <w:tcW w:type="dxa" w:w="1728"/>
            <w:shd w:val="clear" w:color="auto" w:fill="F0F3F7"/>
          </w:tcPr>
          <w:p>
            <w:r/>
            <w:r>
              <w:rPr>
                <w:b w:val="0"/>
                <w:sz w:val="19"/>
              </w:rPr>
              <w:t>Balance sheet</w:t>
            </w:r>
          </w:p>
        </w:tc>
        <w:tc>
          <w:tcPr>
            <w:tcW w:type="dxa" w:w="3816"/>
            <w:shd w:val="clear" w:color="auto" w:fill="F0F3F7"/>
          </w:tcPr>
          <w:p>
            <w:r/>
            <w:r>
              <w:rPr>
                <w:b w:val="0"/>
                <w:sz w:val="19"/>
              </w:rPr>
              <w:t>€3.4B net cash; €1B buyback; €1.4B licensing annuity</w:t>
            </w:r>
          </w:p>
        </w:tc>
        <w:tc>
          <w:tcPr>
            <w:tcW w:type="dxa" w:w="3816"/>
            <w:shd w:val="clear" w:color="auto" w:fill="F0F3F7"/>
          </w:tcPr>
          <w:p>
            <w:r/>
            <w:r>
              <w:rPr>
                <w:b w:val="0"/>
                <w:sz w:val="19"/>
              </w:rPr>
              <w:t>Infinera goodwill ~€6.4B impairment risk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Catalysts</w:t>
            </w:r>
          </w:p>
        </w:tc>
        <w:tc>
          <w:tcPr>
            <w:tcW w:type="dxa" w:w="3816"/>
          </w:tcPr>
          <w:p>
            <w:r/>
            <w:r>
              <w:rPr>
                <w:b w:val="0"/>
                <w:sz w:val="19"/>
              </w:rPr>
              <w:t>NVIDIA, optical wins, divestitures, defense</w:t>
            </w:r>
          </w:p>
        </w:tc>
        <w:tc>
          <w:tcPr>
            <w:tcW w:type="dxa" w:w="3816"/>
          </w:tcPr>
          <w:p>
            <w:r/>
            <w:r>
              <w:rPr>
                <w:b w:val="0"/>
                <w:sz w:val="19"/>
              </w:rPr>
              <w:t>AI-RAN pre-revenue; capex −2%; FX swings</w:t>
            </w:r>
          </w:p>
        </w:tc>
      </w:tr>
      <w:tr>
        <w:tc>
          <w:tcPr>
            <w:tcW w:type="dxa" w:w="1728"/>
            <w:shd w:val="clear" w:color="auto" w:fill="F0F3F7"/>
          </w:tcPr>
          <w:p>
            <w:r/>
            <w:r>
              <w:rPr>
                <w:b w:val="0"/>
                <w:sz w:val="19"/>
              </w:rPr>
              <w:t>Valuation</w:t>
            </w:r>
          </w:p>
        </w:tc>
        <w:tc>
          <w:tcPr>
            <w:tcW w:type="dxa" w:w="3816"/>
            <w:shd w:val="clear" w:color="auto" w:fill="F0F3F7"/>
          </w:tcPr>
          <w:p>
            <w:r/>
            <w:r>
              <w:rPr>
                <w:b w:val="0"/>
                <w:sz w:val="19"/>
              </w:rPr>
              <w:t>SOTP re-rating toward AI-infra comps</w:t>
            </w:r>
          </w:p>
        </w:tc>
        <w:tc>
          <w:tcPr>
            <w:tcW w:type="dxa" w:w="3816"/>
            <w:shd w:val="clear" w:color="auto" w:fill="F0F3F7"/>
          </w:tcPr>
          <w:p>
            <w:r/>
            <w:r>
              <w:rPr>
                <w:b w:val="0"/>
                <w:sz w:val="19"/>
              </w:rPr>
              <w:t>~90x P/E after ~2x run; targets below price</w:t>
            </w:r>
          </w:p>
        </w:tc>
      </w:tr>
    </w:tbl>
    <w:p>
      <w:pPr>
        <w:spacing w:before="200" w:after="80"/>
      </w:pPr>
      <w:r>
        <w:rPr>
          <w:b/>
          <w:color w:val="1B7A3D"/>
          <w:sz w:val="25"/>
        </w:rPr>
        <w:t>What would make the bull case</w:t>
      </w:r>
    </w:p>
    <w:p>
      <w:pPr>
        <w:pStyle w:val="ListBullet"/>
      </w:pPr>
      <w:r>
        <w:t>AI &amp; Cloud keeps compounding (toward the €1B-DC-revenue-by-2028 goal) and Optical/IP sustains 18–20% growth; the AI mix re-rates the multiple.</w:t>
      </w:r>
    </w:p>
    <w:p>
      <w:pPr>
        <w:pStyle w:val="ListBullet"/>
      </w:pPr>
      <w:r>
        <w:t>NVIDIA partnership converts to disclosed AI-RAN/DC revenue; named hyperscaler design wins scale.</w:t>
      </w:r>
    </w:p>
    <w:p>
      <w:pPr>
        <w:pStyle w:val="ListBullet"/>
      </w:pPr>
      <w:r>
        <w:t>Margin expansion toward the €2.7–3.2B 2028 target proves credible; buyback shrinks the share count.</w:t>
      </w:r>
    </w:p>
    <w:p>
      <w:pPr>
        <w:spacing w:before="200" w:after="80"/>
      </w:pPr>
      <w:r>
        <w:rPr>
          <w:b/>
          <w:color w:val="A32A2A"/>
          <w:sz w:val="25"/>
        </w:rPr>
        <w:t>What would break it</w:t>
      </w:r>
    </w:p>
    <w:p>
      <w:pPr>
        <w:pStyle w:val="ListBullet"/>
      </w:pPr>
      <w:r>
        <w:t>AI/optical order growth decelerates or hyperscaler capex digestion hits — the priced-in narrative unwinds.</w:t>
      </w:r>
    </w:p>
    <w:p>
      <w:pPr>
        <w:pStyle w:val="ListBullet"/>
      </w:pPr>
      <w:r>
        <w:t>RAN share loss continues; a renewed FX/tariff or licensing-timing guidance cut (the proven failure mode).</w:t>
      </w:r>
    </w:p>
    <w:p>
      <w:pPr>
        <w:pStyle w:val="ListBullet"/>
      </w:pPr>
      <w:r>
        <w:t>AI-RAN stalls on operator GPU-economics pushback; multiple compresses from ~90x toward legacy-telecom levels.</w:t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9.  Sourcing, Confidence &amp; Caveats</w:t>
      </w:r>
    </w:p>
    <w:p>
      <w:pPr>
        <w:pBdr>
          <w:left w:val="single" w:sz="24" w:space="8" w:color="1F2A44"/>
        </w:pBdr>
        <w:spacing w:before="120" w:after="160"/>
        <w:ind w:left="216"/>
      </w:pPr>
      <w:r>
        <w:rPr>
          <w:b/>
          <w:color w:val="1F2A44"/>
          <w:sz w:val="21"/>
        </w:rPr>
        <w:t xml:space="preserve">DATA-QUALITY NOTE:  </w:t>
      </w:r>
      <w:r>
        <w:rPr>
          <w:sz w:val="21"/>
        </w:rPr>
        <w:t>This report synthesizes web-search extracts of primary sources (Nokia interim/annual reports, SEC 6-K/20-F filings, the Nov 2025 Capital Markets Day, NVIDIA/Lockheed releases, and financial aggregators). Direct page-fetching of nokia.com and SEC.gov was blocked (HTTP 403) during research, so figures were corroborated across multiple secondary extracts rather than read line-by-line. Headline items (Q1 26 €281M/+54%, FY25 €19.9B/€2.0B, NVIDIA $1B/$6.01/166.4M shares/2.9%, Infinera $2.3B) are high-confidence across independent sources; the ~10–15% AI-levered share, P/E ~90, and the Q2 date are estimates — confirm against Nokia IR / the FY2025 20-F before acting.</w:t>
      </w:r>
    </w:p>
    <w:p>
      <w:pPr>
        <w:spacing w:before="200" w:after="80"/>
      </w:pPr>
      <w:r>
        <w:rPr>
          <w:b/>
          <w:color w:val="1F2A44"/>
          <w:sz w:val="25"/>
        </w:rPr>
        <w:t>Key primary sources</w:t>
      </w:r>
    </w:p>
    <w:p>
      <w:pPr>
        <w:pStyle w:val="ListBullet"/>
      </w:pPr>
      <w:r>
        <w:rPr>
          <w:sz w:val="18"/>
        </w:rPr>
        <w:t>Nokia Q1 2026 Interim Report (Apr 23, 2026) — nokia.com/newsroom/nokia-corporation-interim-report-for-q1-2026</w:t>
      </w:r>
    </w:p>
    <w:p>
      <w:pPr>
        <w:pStyle w:val="ListBullet"/>
      </w:pPr>
      <w:r>
        <w:rPr>
          <w:sz w:val="18"/>
        </w:rPr>
        <w:t>Nokia Q4 2025 &amp; full-year 2025 report (Jan 29, 2026) — nokia.com/newsroom; SEC 6-K</w:t>
      </w:r>
    </w:p>
    <w:p>
      <w:pPr>
        <w:pStyle w:val="ListBullet"/>
      </w:pPr>
      <w:r>
        <w:rPr>
          <w:sz w:val="18"/>
        </w:rPr>
        <w:t>Capital Markets Day / new strategy &amp; 2028 targets (Nov 19, 2025) — nokia.com/newsroom (new strategy &amp; operating model)</w:t>
      </w:r>
    </w:p>
    <w:p>
      <w:pPr>
        <w:pStyle w:val="ListBullet"/>
      </w:pPr>
      <w:r>
        <w:rPr>
          <w:sz w:val="18"/>
        </w:rPr>
        <w:t>Recast 2024/2025 segment results (new three-segment structure) — nokia.com/newsroom</w:t>
      </w:r>
    </w:p>
    <w:p>
      <w:pPr>
        <w:pStyle w:val="ListBullet"/>
      </w:pPr>
      <w:r>
        <w:rPr>
          <w:sz w:val="18"/>
        </w:rPr>
        <w:t>NVIDIA $1B equity investment &amp; partnership (Oct 28, 2025) — nokia.com newsroom; nvidianews.nvidia.com; CNBC; Bloomberg</w:t>
      </w:r>
    </w:p>
    <w:p>
      <w:pPr>
        <w:pStyle w:val="ListBullet"/>
      </w:pPr>
      <w:r>
        <w:rPr>
          <w:sz w:val="18"/>
        </w:rPr>
        <w:t>Infinera acquisition completion (Feb 28, 2025, ~$2.3B) — nokia.com newsroom; computerweekly.com</w:t>
      </w:r>
    </w:p>
    <w:p>
      <w:pPr>
        <w:pStyle w:val="ListBullet"/>
      </w:pPr>
      <w:r>
        <w:rPr>
          <w:sz w:val="18"/>
        </w:rPr>
        <w:t>Nokia Technologies smartphone renewal-cycle conclusion &amp; licensing — nokia.com newsroom; iam-media.com; ipfray.com</w:t>
      </w:r>
    </w:p>
    <w:p>
      <w:pPr>
        <w:pStyle w:val="ListBullet"/>
      </w:pPr>
      <w:r>
        <w:rPr>
          <w:sz w:val="18"/>
        </w:rPr>
        <w:t>AI Networking Innovation Lab (May 21, 2026) — globenewswire.com; convergedigest.com</w:t>
      </w:r>
    </w:p>
    <w:p>
      <w:pPr>
        <w:pStyle w:val="ListBullet"/>
      </w:pPr>
      <w:r>
        <w:rPr>
          <w:sz w:val="18"/>
        </w:rPr>
        <w:t>Lockheed Martin + Nokia Federal 5G for US DoW (May 5, 2026) — news.lockheedmartin.com</w:t>
      </w:r>
    </w:p>
    <w:p>
      <w:pPr>
        <w:pStyle w:val="ListBullet"/>
      </w:pPr>
      <w:r>
        <w:rPr>
          <w:sz w:val="18"/>
        </w:rPr>
        <w:t>RAN / telecom-capex market data — delloro.com; lightreading.com; fierce-network.com</w:t>
      </w:r>
    </w:p>
    <w:p>
      <w:pPr>
        <w:pStyle w:val="ListBullet"/>
      </w:pPr>
      <w:r>
        <w:rPr>
          <w:sz w:val="18"/>
        </w:rPr>
        <w:t>AT&amp;T $14B Open-RAN award to Ericsson (Dec 2023) — cnbc.com</w:t>
      </w:r>
    </w:p>
    <w:p>
      <w:pPr>
        <w:pStyle w:val="ListBullet"/>
      </w:pPr>
      <w:r>
        <w:rPr>
          <w:sz w:val="18"/>
        </w:rPr>
        <w:t>July 2025 FX/tariff guidance cut — globenewswire.com (Nokia inside information)</w:t>
      </w:r>
    </w:p>
    <w:p>
      <w:pPr>
        <w:pStyle w:val="ListBullet"/>
      </w:pPr>
      <w:r>
        <w:rPr>
          <w:sz w:val="18"/>
        </w:rPr>
        <w:t>Peer comparison (Arista, Ciena, Coherent) — businesswire.com; financialcontent.com; Yahoo Finance</w:t>
      </w:r>
    </w:p>
    <w:p>
      <w:pPr>
        <w:pStyle w:val="ListBullet"/>
      </w:pPr>
      <w:r>
        <w:rPr>
          <w:sz w:val="18"/>
        </w:rPr>
        <w:t>Analyst ratings/targets, price &amp; valuation — JPMorgan, Morgan Stanley, BofA, CFRA, Argus, Barclays; stockanalysis.com; MarketBeat</w:t>
      </w:r>
    </w:p>
    <w:p/>
    <w:p>
      <w:r>
        <w:rPr>
          <w:i/>
          <w:color w:val="888888"/>
          <w:sz w:val="17"/>
        </w:rPr>
        <w:t>Disclaimer: This document is a research synthesis prepared for educational and informational purposes only. It is not investment advice, an offer, or a solicitation to buy or sell any security. Figures are drawn from secondary extracts of public sources and may contain errors; verify against primary filings. Do your own due diligence.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