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2"/>
          <w:szCs w:val="32"/>
        </w:rPr>
        <w:t xml:space="preserve">Assignment 2 — Build Your Knowledge Base</w:t>
      </w:r>
    </w:p>
    <w:p>
      <w:pPr>
        <w:spacing w:after="100"/>
      </w:pPr>
      <w:r>
        <w:rPr>
          <w:i/>
          <w:iCs/>
          <w:color w:val="595959"/>
          <w:sz w:val="18"/>
          <w:szCs w:val="18"/>
        </w:rPr>
        <w:t xml:space="preserve">Team of 3 · Milestone 2 of 4 · Type your answers directly in the blank cells — they grow as you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Strict compliance: </w:t>
            </w:r>
            <w:r>
              <w:t xml:space="preserve">your submission ZIP must exactly match the folder/file structure on the Submission page. Automated grading rejects anything that doesn't — check before you submit.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Project name</w:t>
            </w:r>
          </w:p>
          <w:p>
            <w:pPr>
              <w:spacing w:after="80"/>
            </w:pPr>
            <w:r>
              <w:rPr>
                <w:i/>
                <w:iCs/>
                <w:color w:val="595959"/>
                <w:sz w:val="18"/>
                <w:szCs w:val="18"/>
              </w:rPr>
              <w:t xml:space="preserve">the same project name you used in Assignment 1</w:t>
            </w:r>
          </w:p>
        </w:tc>
        <w:tc>
          <w:tcPr>
            <w:tcW w:type="dxa" w:w="5860"/>
          </w:tcPr>
          <w:p>
            <w:r/>
            <w:r>
              <w:t>PaperScholar</w:t>
            </w:r>
          </w:p>
        </w:tc>
      </w:tr>
    </w:tbl>
    <w:p>
      <w:pPr>
        <w:spacing w:after="60" w:before="120"/>
      </w:pPr>
      <w:r>
        <w:rPr>
          <w:b/>
          <w:bCs/>
          <w:sz w:val="22"/>
          <w:szCs w:val="22"/>
        </w:rPr>
        <w:t xml:space="preserve">Team members</w:t>
      </w:r>
    </w:p>
    <w:p>
      <w:pPr>
        <w:spacing w:after="100"/>
      </w:pPr>
      <w:r>
        <w:rPr>
          <w:i/>
          <w:iCs/>
          <w:color w:val="595959"/>
          <w:sz w:val="18"/>
          <w:szCs w:val="18"/>
        </w:rPr>
        <w:t xml:space="preserve">In 'Worked sections', list the sections each member led. Every section must be owned by someone; each member submits the AI-chat behind their own sections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360"/>
        <w:gridCol w:w="2300"/>
      </w:tblGrid>
      <w:tr>
        <w:trPr>
          <w:tblHeader/>
        </w:trPr>
        <w:tc>
          <w:tcPr>
            <w:tcW w:type="dxa" w:w="1700"/>
            <w:shd w:fill="1F3864" w:val="clear"/>
          </w:tcPr>
          <w:p>
            <w:pPr>
              <w:spacing w:after="80"/>
            </w:pPr>
            <w:r>
              <w:rPr>
                <w:b/>
                <w:bCs/>
                <w:color w:val="FFFFFF"/>
              </w:rPr>
              <w:t xml:space="preserve">Team member</w:t>
            </w:r>
          </w:p>
        </w:tc>
        <w:tc>
          <w:tcPr>
            <w:tcW w:type="dxa" w:w="3000"/>
            <w:shd w:fill="1F3864" w:val="clear"/>
          </w:tcPr>
          <w:p>
            <w:pPr>
              <w:spacing w:after="80"/>
            </w:pPr>
            <w:r>
              <w:rPr>
                <w:b/>
                <w:bCs/>
                <w:color w:val="FFFFFF"/>
              </w:rPr>
              <w:t xml:space="preserve">Full name</w:t>
            </w:r>
          </w:p>
        </w:tc>
        <w:tc>
          <w:tcPr>
            <w:tcW w:type="dxa" w:w="2360"/>
            <w:shd w:fill="1F3864" w:val="clear"/>
          </w:tcPr>
          <w:p>
            <w:pPr>
              <w:spacing w:after="80"/>
            </w:pPr>
            <w:r>
              <w:rPr>
                <w:b/>
                <w:bCs/>
                <w:color w:val="FFFFFF"/>
              </w:rPr>
              <w:t xml:space="preserve">Student number</w:t>
            </w:r>
          </w:p>
        </w:tc>
        <w:tc>
          <w:tcPr>
            <w:tcW w:type="dxa" w:w="2300"/>
            <w:shd w:fill="1F3864" w:val="clear"/>
          </w:tcPr>
          <w:p>
            <w:pPr>
              <w:spacing w:after="80"/>
            </w:pPr>
            <w:r>
              <w:rPr>
                <w:b/>
                <w:bCs/>
                <w:color w:val="FFFFFF"/>
              </w:rPr>
              <w:t xml:space="preserve">Worked sections</w:t>
            </w:r>
          </w:p>
        </w:tc>
      </w:tr>
      <w:tr>
        <w:tc>
          <w:tcPr>
            <w:tcW w:type="dxa" w:w="1700"/>
          </w:tcPr>
          <w:p>
            <w:pPr>
              <w:spacing w:after="80"/>
            </w:pPr>
            <w:r>
              <w:t xml:space="preserve">Student 1</w:t>
            </w:r>
          </w:p>
        </w:tc>
        <w:tc>
          <w:tcPr>
            <w:tcW w:type="dxa" w:w="3000"/>
          </w:tcPr>
          <w:p>
            <w:r/>
            <w:r>
              <w:t>Aurchi Chowdhury</w:t>
            </w:r>
          </w:p>
        </w:tc>
        <w:tc>
          <w:tcPr>
            <w:tcW w:type="dxa" w:w="2360"/>
          </w:tcPr>
          <w:p>
            <w:r/>
            <w:r>
              <w:t>2105083</w:t>
            </w:r>
          </w:p>
        </w:tc>
        <w:tc>
          <w:tcPr>
            <w:tcW w:type="dxa" w:w="2300"/>
          </w:tcPr>
          <w:p>
            <w:r/>
            <w:r>
              <w:t>2, 3, 4, 8</w:t>
            </w:r>
          </w:p>
        </w:tc>
      </w:tr>
      <w:tr>
        <w:tc>
          <w:tcPr>
            <w:tcW w:type="dxa" w:w="1700"/>
          </w:tcPr>
          <w:p>
            <w:pPr>
              <w:spacing w:after="80"/>
            </w:pPr>
            <w:r>
              <w:t xml:space="preserve">Student 2</w:t>
            </w:r>
          </w:p>
        </w:tc>
        <w:tc>
          <w:tcPr>
            <w:tcW w:type="dxa" w:w="3000"/>
          </w:tcPr>
          <w:p>
            <w:r/>
            <w:r>
              <w:t>Abrar Zahin Raihan</w:t>
            </w:r>
          </w:p>
        </w:tc>
        <w:tc>
          <w:tcPr>
            <w:tcW w:type="dxa" w:w="2360"/>
          </w:tcPr>
          <w:p>
            <w:r/>
            <w:r>
              <w:t>2105009</w:t>
            </w:r>
          </w:p>
        </w:tc>
        <w:tc>
          <w:tcPr>
            <w:tcW w:type="dxa" w:w="2300"/>
          </w:tcPr>
          <w:p>
            <w:r/>
            <w:r>
              <w:t>1, 5, 6, 7, 8</w:t>
            </w:r>
          </w:p>
        </w:tc>
      </w:tr>
      <w:tr>
        <w:tc>
          <w:tcPr>
            <w:tcW w:type="dxa" w:w="1700"/>
          </w:tcPr>
          <w:p>
            <w:pPr>
              <w:spacing w:after="80"/>
            </w:pPr>
            <w:r>
              <w:t xml:space="preserve">Student 3</w:t>
            </w:r>
          </w:p>
        </w:tc>
        <w:tc>
          <w:tcPr>
            <w:tcW w:type="dxa" w:w="3000"/>
          </w:tcPr>
          <w:p>
            <w:r/>
            <w:r>
              <w:t>- (team of 2)</w:t>
            </w:r>
          </w:p>
        </w:tc>
        <w:tc>
          <w:tcPr>
            <w:tcW w:type="dxa" w:w="2360"/>
          </w:tcPr>
          <w:p>
            <w:r/>
            <w:r>
              <w:t>-</w:t>
            </w:r>
          </w:p>
        </w:tc>
        <w:tc>
          <w:tcPr>
            <w:tcW w:type="dxa" w:w="2300"/>
          </w:tcPr>
          <w:p>
            <w:r/>
            <w:r>
              <w: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What this assignment is: </w:t>
            </w:r>
            <w:r>
              <w:t xml:space="preserve">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pPr>
              <w:spacing w:after="60"/>
            </w:pPr>
            <w:r>
              <w:rPr>
                <w:b/>
                <w:bCs/>
              </w:rPr>
              <w:t xml:space="preserve">What to hand in: </w:t>
            </w:r>
            <w:r>
              <w:t xml:space="preserve">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pPr>
        <w:pStyle w:val="Heading2"/>
        <w:spacing w:after="100" w:before="240"/>
      </w:pPr>
      <w:r>
        <w:rPr>
          <w:b/>
          <w:bCs/>
          <w:color w:val="1F3864"/>
          <w:sz w:val="26"/>
          <w:szCs w:val="26"/>
        </w:rPr>
        <w:t xml:space="preserve">Section 1 — Recap from Assignment 1</w:t>
      </w:r>
    </w:p>
    <w:p>
      <w:pPr>
        <w:spacing w:after="100"/>
      </w:pPr>
      <w:r>
        <w:rPr>
          <w:i/>
          <w:iCs/>
          <w:color w:val="595959"/>
          <w:sz w:val="18"/>
          <w:szCs w:val="18"/>
        </w:rPr>
        <w:t xml:space="preserve">Copy these from A1 so this form stands alone. Do NOT change the success metric — your system in A3 is judged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Our three choices (from A1)</w:t>
            </w:r>
          </w:p>
          <w:p>
            <w:pPr>
              <w:spacing w:after="80"/>
            </w:pPr>
            <w:r>
              <w:rPr>
                <w:i/>
                <w:iCs/>
                <w:color w:val="595959"/>
                <w:sz w:val="18"/>
                <w:szCs w:val="18"/>
              </w:rPr>
              <w:t xml:space="preserve">domain · data speciality · primary NFR + target — one line each.</w:t>
            </w:r>
          </w:p>
        </w:tc>
        <w:tc>
          <w:tcPr>
            <w:tcW w:type="dxa" w:w="5860"/>
          </w:tcPr>
          <w:p>
            <w:r/>
            <w:r>
              <w:t>Domain: scientific literature triage - a PhD student or postdoc screening ~40 candidate papers to decide which five to read in full and which single reported quantity from each belongs in a related-work table.</w:t>
            </w:r>
          </w:p>
          <w:p>
            <w:r>
              <w:t>Data speciality: dense multi-column scientific page layout - reading order is not visual order, and the answer often sits inside a figure, table or displayed equation rather than in prose.</w:t>
            </w:r>
          </w:p>
          <w:p>
            <w:r>
              <w:t>Primary NFR: robustness, as a worst-stratum gap - answer-F1 must hold across page types, with F1(S1) - F1(S3) &lt;= 8, reported per stratum and never pooled.</w:t>
            </w:r>
          </w:p>
        </w:tc>
      </w:tr>
      <w:tr>
        <w:tc>
          <w:tcPr>
            <w:tcW w:type="dxa" w:w="3500"/>
            <w:shd w:fill="F2F2F2" w:val="clear"/>
          </w:tcPr>
          <w:p>
            <w:pPr>
              <w:spacing w:after="80"/>
            </w:pPr>
            <w:r>
              <w:rPr>
                <w:b/>
                <w:bCs/>
              </w:rPr>
              <w:t xml:space="preserve">Success metric (from A1)</w:t>
            </w:r>
          </w:p>
          <w:p>
            <w:pPr>
              <w:spacing w:after="80"/>
            </w:pPr>
            <w:r>
              <w:rPr>
                <w:i/>
                <w:iCs/>
                <w:color w:val="595959"/>
                <w:sz w:val="18"/>
                <w:szCs w:val="18"/>
              </w:rPr>
              <w:t xml:space="preserve">the single answer-quality metric and target, unchanged.</w:t>
            </w:r>
          </w:p>
        </w:tc>
        <w:tc>
          <w:tcPr>
            <w:tcW w:type="dxa" w:w="5860"/>
          </w:tcPr>
          <w:p>
            <w:r/>
            <w:r>
              <w:t>Pooled answer-F1 &gt;= 0.70, computed over all strata together, with abstentions scored as neither correct nor incorrect and reported separately as an abstention rate. Unchanged from A1.</w:t>
            </w:r>
          </w:p>
        </w:tc>
      </w:tr>
      <w:tr>
        <w:tc>
          <w:tcPr>
            <w:tcW w:type="dxa" w:w="3500"/>
            <w:shd w:fill="F2F2F2" w:val="clear"/>
          </w:tcPr>
          <w:p>
            <w:pPr>
              <w:spacing w:after="80"/>
            </w:pPr>
            <w:r>
              <w:rPr>
                <w:b/>
                <w:bCs/>
              </w:rPr>
              <w:t xml:space="preserve">Our corpus (from A1)</w:t>
            </w:r>
          </w:p>
          <w:p>
            <w:pPr>
              <w:spacing w:after="80"/>
            </w:pPr>
            <w:r>
              <w:rPr>
                <w:i/>
                <w:iCs/>
                <w:color w:val="595959"/>
                <w:sz w:val="18"/>
                <w:szCs w:val="18"/>
              </w:rPr>
              <w:t xml:space="preserve">source, size (pages/words), and the one thing that makes it hard to read.</w:t>
            </w:r>
          </w:p>
        </w:tc>
        <w:tc>
          <w:tcPr>
            <w:tcW w:type="dxa" w:w="5860"/>
          </w:tcPr>
          <w:p>
            <w:r/>
            <w:r>
              <w:t>SciEGQA-Bench (80 arXiv papers, 1,823 pages, 788,265 words), pinned revision 9bdca77b. Hard property: layout, not language - 16.8% of pages are two-column where reading order is not visual order, and 56.1% of questions have their evidence inside a figure or table rather than in running prose.</w:t>
            </w:r>
          </w:p>
        </w:tc>
      </w:tr>
    </w:tbl>
    <w:p>
      <w:pPr>
        <w:pStyle w:val="Heading2"/>
        <w:spacing w:after="100" w:before="240"/>
      </w:pPr>
      <w:r>
        <w:rPr>
          <w:b/>
          <w:bCs/>
          <w:color w:val="1F3864"/>
          <w:sz w:val="26"/>
          <w:szCs w:val="26"/>
        </w:rPr>
        <w:t xml:space="preserve">Section 2 — The Structure We Exploit</w:t>
      </w:r>
    </w:p>
    <w:p>
      <w:pPr>
        <w:spacing w:after="100"/>
      </w:pPr>
      <w:r>
        <w:rPr>
          <w:i/>
          <w:iCs/>
          <w:color w:val="595959"/>
          <w:sz w:val="18"/>
          <w:szCs w:val="18"/>
        </w:rPr>
        <w:t xml:space="preserve">Every model choice is a bet on structure in the data. Name the structure your pipeline relies on, and the things it must 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Structure in the page image</w:t>
            </w:r>
          </w:p>
          <w:p>
            <w:pPr>
              <w:spacing w:after="80"/>
            </w:pPr>
            <w:r>
              <w:rPr>
                <w:i/>
                <w:iCs/>
                <w:color w:val="595959"/>
                <w:sz w:val="18"/>
                <w:szCs w:val="18"/>
              </w:rPr>
              <w:t xml:space="preserve">what a vision model can exploit — nearby pixels form strokes/characters; a character looks the same when shifted. Drives your layout &amp; enhancement choices.</w:t>
            </w:r>
          </w:p>
        </w:tc>
        <w:tc>
          <w:tcPr>
            <w:tcW w:type="dxa" w:w="5860"/>
          </w:tcPr>
          <w:p>
            <w:r/>
            <w:r>
              <w:t>Ink is locally correlated: neighbouring dark pixels form strokes, strokes form glyphs, and a glyph means the same thing wherever it sits on the page - so a convolutional or patch-based vision model can learn it once and reuse it everywhere. At the page scale the exploitable structure is whitespace: a scientific page is a small number of rectangular text blocks separated by margins and, on 16.8% of our pages, a vertical gutter. That gutter is the single most informative feature in this corpus, because it is what distinguishes 'two columns read in sequence' from 'one wide column'. Our layout stage exploits exactly this: a projection profile over horizontal bands finds the gutter, and figures and tables are large connected ink regions with different statistics from prose.</w:t>
            </w:r>
          </w:p>
        </w:tc>
      </w:tr>
      <w:tr>
        <w:tc>
          <w:tcPr>
            <w:tcW w:type="dxa" w:w="3500"/>
            <w:shd w:fill="F2F2F2" w:val="clear"/>
          </w:tcPr>
          <w:p>
            <w:pPr>
              <w:spacing w:after="80"/>
            </w:pPr>
            <w:r>
              <w:rPr>
                <w:b/>
                <w:bCs/>
              </w:rPr>
              <w:t xml:space="preserve">Structure in the text</w:t>
            </w:r>
          </w:p>
          <w:p>
            <w:pPr>
              <w:spacing w:after="80"/>
            </w:pPr>
            <w:r>
              <w:rPr>
                <w:i/>
                <w:iCs/>
                <w:color w:val="595959"/>
                <w:sz w:val="18"/>
                <w:szCs w:val="18"/>
              </w:rPr>
              <w:t xml:space="preserve">what a sequence model can exploit — reading order and context carry meaning; conjuncts/ligatures span characters. Drives your OCR &amp; embedding choices.</w:t>
            </w:r>
          </w:p>
        </w:tc>
        <w:tc>
          <w:tcPr>
            <w:tcW w:type="dxa" w:w="5860"/>
          </w:tcPr>
          <w:p>
            <w:r/>
            <w:r>
              <w:t>Scientific prose is highly predictable in sequence: word order carries meaning, section headings mark topic boundaries, and technical phrases recur ('we report', 'Table 3 shows'). A decoder-style model can therefore resolve an ambiguous glyph from context, which is why an encoder-decoder reader beats per-character classification on degraded or unusual notation. Mathematics adds structure a plain character model cannot use: superscripts, subscripts and fractions are two-dimensional relations, not a left-to-right string - which is why we read with a model that emits LaTeX rather than flat text. For retrieval, the exploitable structure is distributional: passages about the same quantity use overlapping vocabulary, so a sentence embedder places them near each other.</w:t>
            </w:r>
          </w:p>
        </w:tc>
      </w:tr>
      <w:tr>
        <w:tc>
          <w:tcPr>
            <w:tcW w:type="dxa" w:w="3500"/>
            <w:shd w:fill="F2F2F2" w:val="clear"/>
          </w:tcPr>
          <w:p>
            <w:pPr>
              <w:spacing w:after="80"/>
            </w:pPr>
            <w:r>
              <w:rPr>
                <w:b/>
                <w:bCs/>
              </w:rPr>
              <w:t xml:space="preserve">What should NOT change the answer</w:t>
            </w:r>
          </w:p>
          <w:p>
            <w:pPr>
              <w:spacing w:after="80"/>
            </w:pPr>
            <w:r>
              <w:rPr>
                <w:i/>
                <w:iCs/>
                <w:color w:val="595959"/>
                <w:sz w:val="18"/>
                <w:szCs w:val="18"/>
              </w:rPr>
              <w:t xml:space="preserve">variations the system must be robust to — page position, font, mild skew, scan noise, ink bleed. Knowing these points you to the right model and augmentation.</w:t>
            </w:r>
          </w:p>
        </w:tc>
        <w:tc>
          <w:tcPr>
            <w:tcW w:type="dxa" w:w="5860"/>
          </w:tcPr>
          <w:p>
            <w:r/>
            <w:r>
              <w:t>The answer must not change with: where a block sits on the page (a result is the same result in the left column or the right); page size (our corpus mixes US Letter, A4 and two smaller formats, which is why all coordinate handling uses the normalised rel_bbox and never absolute pixels); font and typeface across publishers and LaTeX classes; mild skew, scan noise and ink bleed; and the particular arXiv category a paper belongs to. Two of these we can state as measured invariances rather than hopes: page geometry, because coordinates are normalised, and category, because the corpus is exactly balanced at 10 documents per category. What SHOULD change the answer is the evidence region itself - so we deliberately do not make the system invariant to which box on the page it reads.</w:t>
            </w:r>
          </w:p>
        </w:tc>
      </w:tr>
    </w:tbl>
    <w:p>
      <w:pPr>
        <w:pStyle w:val="Heading2"/>
        <w:spacing w:after="100" w:before="240"/>
      </w:pPr>
      <w:r>
        <w:rPr>
          <w:b/>
          <w:bCs/>
          <w:color w:val="1F3864"/>
          <w:sz w:val="26"/>
          <w:szCs w:val="26"/>
        </w:rPr>
        <w:t xml:space="preserve">Section 3 — Components &amp; Options We Considered</w:t>
      </w:r>
    </w:p>
    <w:p>
      <w:pPr>
        <w:spacing w:after="100"/>
      </w:pPr>
      <w:r>
        <w:t xml:space="preserve">For each stage, name the options you compared and your choice. </w:t>
      </w:r>
      <w:r>
        <w:rPr>
          <w:b/>
          <w:bCs/>
        </w:rPr>
        <w:t xml:space="preserve">At least one choice must be an existing published/pretrained method you reproduce and adapt</w:t>
      </w:r>
      <w:r>
        <w:t xml:space="preserve"> (your OCR foundation is the natural one — reproducing someone else's method is the core skill for adopting whatever comes next). Mark it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3200"/>
        <w:gridCol w:w="1560"/>
      </w:tblGrid>
      <w:tr>
        <w:trPr>
          <w:tblHeader/>
        </w:trPr>
        <w:tc>
          <w:tcPr>
            <w:tcW w:type="dxa" w:w="1700"/>
            <w:shd w:fill="1F3864" w:val="clear"/>
          </w:tcPr>
          <w:p>
            <w:pPr>
              <w:spacing w:after="80"/>
            </w:pPr>
            <w:r>
              <w:rPr>
                <w:b/>
                <w:bCs/>
                <w:color w:val="FFFFFF"/>
              </w:rPr>
              <w:t xml:space="preserve">Stage</w:t>
            </w:r>
          </w:p>
        </w:tc>
        <w:tc>
          <w:tcPr>
            <w:tcW w:type="dxa" w:w="2900"/>
            <w:shd w:fill="1F3864" w:val="clear"/>
          </w:tcPr>
          <w:p>
            <w:pPr>
              <w:spacing w:after="80"/>
            </w:pPr>
            <w:r>
              <w:rPr>
                <w:b/>
                <w:bCs/>
                <w:color w:val="FFFFFF"/>
              </w:rPr>
              <w:t xml:space="preserve">Options we compared</w:t>
            </w:r>
          </w:p>
        </w:tc>
        <w:tc>
          <w:tcPr>
            <w:tcW w:type="dxa" w:w="3200"/>
            <w:shd w:fill="1F3864" w:val="clear"/>
          </w:tcPr>
          <w:p>
            <w:pPr>
              <w:spacing w:after="80"/>
            </w:pPr>
            <w:r>
              <w:rPr>
                <w:b/>
                <w:bCs/>
                <w:color w:val="FFFFFF"/>
              </w:rPr>
              <w:t xml:space="preserve">Our choice + why</w:t>
            </w:r>
          </w:p>
        </w:tc>
        <w:tc>
          <w:tcPr>
            <w:tcW w:type="dxa" w:w="1560"/>
            <w:shd w:fill="1F3864" w:val="clear"/>
          </w:tcPr>
          <w:p>
            <w:pPr>
              <w:spacing w:after="80"/>
            </w:pPr>
            <w:r>
              <w:rPr>
                <w:b/>
                <w:bCs/>
                <w:color w:val="FFFFFF"/>
              </w:rPr>
              <w:t xml:space="preserve">Reproduced? (≥1 yes)</w:t>
            </w:r>
          </w:p>
        </w:tc>
      </w:tr>
      <w:tr>
        <w:tc>
          <w:tcPr>
            <w:tcW w:type="dxa" w:w="1700"/>
          </w:tcPr>
          <w:p>
            <w:pPr>
              <w:spacing w:after="80"/>
            </w:pPr>
            <w:r>
              <w:t xml:space="preserve">Enhancement (bonus)</w:t>
            </w:r>
          </w:p>
        </w:tc>
        <w:tc>
          <w:tcPr>
            <w:tcW w:type="dxa" w:w="2900"/>
          </w:tcPr>
          <w:p>
            <w:r/>
            <w:r>
              <w:t>Classical denoise/deskew/binarize, a VAE denoiser, or a diffusion restorer - against doing nothing.</w:t>
            </w:r>
          </w:p>
        </w:tc>
        <w:tc>
          <w:tcPr>
            <w:tcW w:type="dxa" w:w="3200"/>
          </w:tcPr>
          <w:p>
            <w:r/>
            <w:r>
              <w:t>NONE, deliberately. Enhancement is bonus-tier and gated on degraded scans; these are born-digital 300-DPI renders with no skew, speckle or fading (only 0.7% of pages carry under 20 words). Classical restoration on clean glyphs only destroys them, and a learned enhancer would have nothing to learn from. enhance.enabled is set to false rather than left on.</w:t>
            </w:r>
          </w:p>
        </w:tc>
        <w:tc>
          <w:tcPr>
            <w:tcW w:type="dxa" w:w="1560"/>
          </w:tcPr>
          <w:p>
            <w:r/>
            <w:r>
              <w:t>no</w:t>
            </w:r>
          </w:p>
        </w:tc>
      </w:tr>
      <w:tr>
        <w:tc>
          <w:tcPr>
            <w:tcW w:type="dxa" w:w="1700"/>
          </w:tcPr>
          <w:p>
            <w:pPr>
              <w:spacing w:after="80"/>
            </w:pPr>
            <w:r>
              <w:t xml:space="preserve">Layout detection</w:t>
            </w:r>
          </w:p>
        </w:tc>
        <w:tc>
          <w:tcPr>
            <w:tcW w:type="dxa" w:w="2900"/>
          </w:tcPr>
          <w:p>
            <w:r/>
            <w:r>
              <w:t>Naive top-to-bottom sort of detected blocks; whole-page morphological segmentation; a learned detector (DocLayout-YOLO / PP-DocLayout); projection-profile column detection.</w:t>
            </w:r>
          </w:p>
        </w:tc>
        <w:tc>
          <w:tcPr>
            <w:tcW w:type="dxa" w:w="3200"/>
          </w:tcPr>
          <w:p>
            <w:r/>
            <w:r>
              <w:t>Band-scanned projection profile for the gutter, plus the corpus's own figure/table boxes, ordered as: spanning band, then left column, then right. Measurement forced this. The column gap is ~12px at working resolution, narrower than the morphological kernel needed to join words into lines - so any purely morphological pass bridges the gutter and welds the two columns into one block, which is the exact failure this stage exists to prevent. And a whole-page projection fails when a wide figure sits above two columns, so we scan horizontal bands and require the gutter to persist across most of them. Verified by eye on 8 pages: 8/8.</w:t>
            </w:r>
          </w:p>
        </w:tc>
        <w:tc>
          <w:tcPr>
            <w:tcW w:type="dxa" w:w="1560"/>
          </w:tcPr>
          <w:p>
            <w:r/>
            <w:r>
              <w:t>no</w:t>
            </w:r>
          </w:p>
        </w:tc>
      </w:tr>
      <w:tr>
        <w:tc>
          <w:tcPr>
            <w:tcW w:type="dxa" w:w="1700"/>
          </w:tcPr>
          <w:p>
            <w:pPr>
              <w:spacing w:after="80"/>
            </w:pPr>
            <w:r>
              <w:t xml:space="preserve">OCR / HTR</w:t>
            </w:r>
          </w:p>
        </w:tc>
        <w:tc>
          <w:tcPr>
            <w:tcW w:type="dxa" w:w="2900"/>
          </w:tcPr>
          <w:p>
            <w:r/>
            <w:r>
              <w:t>Tesseract (classical OCR), TrOCR (line-level encoder-decoder), Donut (OCR-free document understanding), Nougat (academic-document transformer).</w:t>
            </w:r>
          </w:p>
        </w:tc>
        <w:tc>
          <w:tcPr>
            <w:tcW w:type="dxa" w:w="3200"/>
          </w:tcPr>
          <w:p>
            <w:r/>
            <w:r>
              <w:t>Nougat (facebook/nougat-base), REPRODUCED from Blecher et al. 2023 (arXiv:2308.13418), run through HF transformers rather than the unmaintained nougat-ocr package. It is trained on arXiv page images - literally this corpus - emits Markdown with LaTeX for mathematics, and resolves two-column reading order internally. Tesseract loses every equation; TrOCR is line-level and would need our layout stage to feed it correctly ordered lines and would still lose the mathematics.</w:t>
            </w:r>
          </w:p>
        </w:tc>
        <w:tc>
          <w:tcPr>
            <w:tcW w:type="dxa" w:w="1560"/>
          </w:tcPr>
          <w:p>
            <w:r/>
            <w:r>
              <w:t>YES - reproduced</w:t>
            </w:r>
          </w:p>
        </w:tc>
      </w:tr>
      <w:tr>
        <w:tc>
          <w:tcPr>
            <w:tcW w:type="dxa" w:w="1700"/>
          </w:tcPr>
          <w:p>
            <w:pPr>
              <w:spacing w:after="80"/>
            </w:pPr>
            <w:r>
              <w:t xml:space="preserve">Chunking</w:t>
            </w:r>
          </w:p>
        </w:tc>
        <w:tc>
          <w:tcPr>
            <w:tcW w:type="dxa" w:w="2900"/>
          </w:tcPr>
          <w:p>
            <w:r/>
            <w:r>
              <w:t>Fixed-size token windows; paragraph splitting; semantic/embedding-based chunking; region-aware chunking.</w:t>
            </w:r>
          </w:p>
        </w:tc>
        <w:tc>
          <w:tcPr>
            <w:tcW w:type="dxa" w:w="3200"/>
          </w:tcPr>
          <w:p>
            <w:r/>
            <w:r>
              <w:t>Region-aware chunks, split on Nougat's Markdown headings, 256 tokens with 32 overlap. A chunk never spans two layout regions. Fixed windows over a flattened page would re-mix the columns Stage 2 just separated and glue table cells onto neighbouring prose, undoing the reading order we paid for. Because Nougat emits headings, section boundaries are free and are strictly better cut points than a blind window.</w:t>
            </w:r>
          </w:p>
        </w:tc>
        <w:tc>
          <w:tcPr>
            <w:tcW w:type="dxa" w:w="1560"/>
          </w:tcPr>
          <w:p>
            <w:r/>
            <w:r>
              <w:t>no</w:t>
            </w:r>
          </w:p>
        </w:tc>
      </w:tr>
      <w:tr>
        <w:tc>
          <w:tcPr>
            <w:tcW w:type="dxa" w:w="1700"/>
          </w:tcPr>
          <w:p>
            <w:pPr>
              <w:spacing w:after="80"/>
            </w:pPr>
            <w:r>
              <w:t xml:space="preserve">Embedding</w:t>
            </w:r>
          </w:p>
        </w:tc>
        <w:tc>
          <w:tcPr>
            <w:tcW w:type="dxa" w:w="2900"/>
          </w:tcPr>
          <w:p>
            <w:r/>
            <w:r>
              <w:t>all-MiniLM-L6-v2 (384-d), BAAI/bge-base-en-v1.5 (768-d), BAAI/bge-large-en-v1.5 (1024-d), E5.</w:t>
            </w:r>
          </w:p>
        </w:tc>
        <w:tc>
          <w:tcPr>
            <w:tcW w:type="dxa" w:w="3200"/>
          </w:tcPr>
          <w:p>
            <w:r/>
            <w:r>
              <w:t>BAAI/bge-base-en-v1.5, 768-d, normalised, with the query-side instruction prefix the model was trained with. Our corpus is English scientific prose, which bge handles well. A1 named bge-large; base is the documented trade - 4x smaller, so the built index ships inside the repo and the demo notebook runs for a grader with no GPU. MiniLM at 384-d would have cost retrieval quality on technical vocabulary for a saving we did not need.</w:t>
            </w:r>
          </w:p>
        </w:tc>
        <w:tc>
          <w:tcPr>
            <w:tcW w:type="dxa" w:w="1560"/>
          </w:tcPr>
          <w:p>
            <w:r/>
            <w:r>
              <w:t>no</w:t>
            </w:r>
          </w:p>
        </w:tc>
      </w:tr>
      <w:tr>
        <w:tc>
          <w:tcPr>
            <w:tcW w:type="dxa" w:w="1700"/>
          </w:tcPr>
          <w:p>
            <w:pPr>
              <w:spacing w:after="80"/>
            </w:pPr>
            <w:r>
              <w:t xml:space="preserve">Vector index</w:t>
            </w:r>
          </w:p>
        </w:tc>
        <w:tc>
          <w:tcPr>
            <w:tcW w:type="dxa" w:w="2900"/>
          </w:tcPr>
          <w:p>
            <w:r/>
            <w:r>
              <w:t>FAISS IndexFlatIP (exact), HNSW, IVF-PQ.</w:t>
            </w:r>
          </w:p>
        </w:tc>
        <w:tc>
          <w:tcPr>
            <w:tcW w:type="dxa" w:w="3200"/>
          </w:tcPr>
          <w:p>
            <w:r/>
            <w:r>
              <w:t>IndexFlatIP - exact inner product over normalised vectors. At this corpus size an approximate index trades recall for a speedup we do not need, and recall is precisely what our robustness NFR is about: an ANN miss on a figure-evidence page is indistinguishable from a reading failure and would corrupt the very gap we commit to. Flat search is O(n) and would not survive two more orders of magnitude, which is the condition that would flip us to HNSW.</w:t>
            </w:r>
          </w:p>
        </w:tc>
        <w:tc>
          <w:tcPr>
            <w:tcW w:type="dxa" w:w="1560"/>
          </w:tcPr>
          <w:p>
            <w:r/>
            <w:r>
              <w:t>no</w:t>
            </w:r>
          </w:p>
        </w:tc>
      </w:tr>
    </w:tbl>
    <w:p>
      <w:pPr>
        <w:pStyle w:val="Heading2"/>
        <w:spacing w:after="100" w:before="240"/>
      </w:pPr>
      <w:r>
        <w:rPr>
          <w:b/>
          <w:bCs/>
          <w:color w:val="1F3864"/>
          <w:sz w:val="26"/>
          <w:szCs w:val="26"/>
        </w:rPr>
        <w:t xml:space="preserve">Section 4 — The Knowledge Base We Built</w:t>
      </w:r>
    </w:p>
    <w:p>
      <w:pPr>
        <w:spacing w:after="100"/>
      </w:pPr>
      <w:r>
        <w:rPr>
          <w:i/>
          <w:iCs/>
          <w:color w:val="595959"/>
          <w:sz w:val="18"/>
          <w:szCs w:val="18"/>
        </w:rPr>
        <w:t xml:space="preserve">What actually runs. State the model/checkpoint and the key parameters per stage, and whether it's pretrained, fine-tuned, or from scratch.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shd w:fill="1F3864" w:val="clear"/>
          </w:tcPr>
          <w:p>
            <w:pPr>
              <w:spacing w:after="80"/>
            </w:pPr>
            <w:r>
              <w:rPr>
                <w:b/>
                <w:bCs/>
                <w:color w:val="FFFFFF"/>
              </w:rPr>
              <w:t xml:space="preserve">Stage</w:t>
            </w:r>
          </w:p>
        </w:tc>
        <w:tc>
          <w:tcPr>
            <w:tcW w:type="dxa" w:w="2700"/>
            <w:shd w:fill="1F3864" w:val="clear"/>
          </w:tcPr>
          <w:p>
            <w:pPr>
              <w:spacing w:after="80"/>
            </w:pPr>
            <w:r>
              <w:rPr>
                <w:b/>
                <w:bCs/>
                <w:color w:val="FFFFFF"/>
              </w:rPr>
              <w:t xml:space="preserve">Model / checkpoint</w:t>
            </w:r>
          </w:p>
        </w:tc>
        <w:tc>
          <w:tcPr>
            <w:tcW w:type="dxa" w:w="2400"/>
            <w:shd w:fill="1F3864" w:val="clear"/>
          </w:tcPr>
          <w:p>
            <w:pPr>
              <w:spacing w:after="80"/>
            </w:pPr>
            <w:r>
              <w:rPr>
                <w:b/>
                <w:bCs/>
                <w:color w:val="FFFFFF"/>
              </w:rPr>
              <w:t xml:space="preserve">Key parameters</w:t>
            </w:r>
          </w:p>
        </w:tc>
        <w:tc>
          <w:tcPr>
            <w:tcW w:type="dxa" w:w="2360"/>
            <w:shd w:fill="1F3864" w:val="clear"/>
          </w:tcPr>
          <w:p>
            <w:pPr>
              <w:spacing w:after="80"/>
            </w:pPr>
            <w:r>
              <w:rPr>
                <w:b/>
                <w:bCs/>
                <w:color w:val="FFFFFF"/>
              </w:rPr>
              <w:t xml:space="preserve">Pretrained / fine-tuned / scratch</w:t>
            </w:r>
          </w:p>
        </w:tc>
      </w:tr>
      <w:tr>
        <w:tc>
          <w:tcPr>
            <w:tcW w:type="dxa" w:w="1900"/>
          </w:tcPr>
          <w:p>
            <w:pPr>
              <w:spacing w:after="80"/>
            </w:pPr>
            <w:r>
              <w:t xml:space="preserve">Ingest + enhance</w:t>
            </w:r>
          </w:p>
        </w:tc>
        <w:tc>
          <w:tcPr>
            <w:tcW w:type="dxa" w:w="2700"/>
          </w:tcPr>
          <w:p>
            <w:pPr>
              <w:spacing w:after="80"/>
            </w:pPr>
            <w:r>
              <w:t xml:space="preserve"/>
            </w:r>
          </w:p>
        </w:tc>
        <w:tc>
          <w:tcPr>
            <w:tcW w:type="dxa" w:w="2400"/>
          </w:tcPr>
          <w:p>
            <w:pPr>
              <w:spacing w:after="80"/>
            </w:pPr>
            <w:r>
              <w:t xml:space="preserve"/>
            </w:r>
          </w:p>
        </w:tc>
        <w:tc>
          <w:tcPr>
            <w:tcW w:type="dxa" w:w="2360"/>
          </w:tcPr>
          <w:p>
            <w:pPr>
              <w:spacing w:after="80"/>
            </w:pPr>
            <w:r>
              <w:t xml:space="preserve"/>
            </w:r>
          </w:p>
        </w:tc>
      </w:tr>
      <w:tr>
        <w:tc>
          <w:tcPr>
            <w:tcW w:type="dxa" w:w="1900"/>
          </w:tcPr>
          <w:p>
            <w:pPr>
              <w:spacing w:after="80"/>
            </w:pPr>
            <w:r>
              <w:t xml:space="preserve">Layout</w:t>
            </w:r>
          </w:p>
        </w:tc>
        <w:tc>
          <w:tcPr>
            <w:tcW w:type="dxa" w:w="2700"/>
          </w:tcPr>
          <w:p>
            <w:pPr>
              <w:spacing w:after="80"/>
            </w:pPr>
            <w:r>
              <w:t xml:space="preserve"/>
            </w:r>
          </w:p>
        </w:tc>
        <w:tc>
          <w:tcPr>
            <w:tcW w:type="dxa" w:w="2400"/>
          </w:tcPr>
          <w:p>
            <w:pPr>
              <w:spacing w:after="80"/>
            </w:pPr>
            <w:r>
              <w:t xml:space="preserve"/>
            </w:r>
          </w:p>
        </w:tc>
        <w:tc>
          <w:tcPr>
            <w:tcW w:type="dxa" w:w="2360"/>
          </w:tcPr>
          <w:p>
            <w:pPr>
              <w:spacing w:after="80"/>
            </w:pPr>
            <w:r>
              <w:t xml:space="preserve"/>
            </w:r>
          </w:p>
        </w:tc>
      </w:tr>
      <w:tr>
        <w:tc>
          <w:tcPr>
            <w:tcW w:type="dxa" w:w="1900"/>
          </w:tcPr>
          <w:p>
            <w:pPr>
              <w:spacing w:after="80"/>
            </w:pPr>
            <w:r>
              <w:t xml:space="preserve">OCR / HTR</w:t>
            </w:r>
          </w:p>
        </w:tc>
        <w:tc>
          <w:tcPr>
            <w:tcW w:type="dxa" w:w="2700"/>
          </w:tcPr>
          <w:p>
            <w:pPr>
              <w:spacing w:after="80"/>
            </w:pPr>
            <w:r>
              <w:t xml:space="preserve"/>
            </w:r>
          </w:p>
        </w:tc>
        <w:tc>
          <w:tcPr>
            <w:tcW w:type="dxa" w:w="2400"/>
          </w:tcPr>
          <w:p>
            <w:pPr>
              <w:spacing w:after="80"/>
            </w:pPr>
            <w:r>
              <w:t xml:space="preserve"/>
            </w:r>
          </w:p>
        </w:tc>
        <w:tc>
          <w:tcPr>
            <w:tcW w:type="dxa" w:w="2360"/>
          </w:tcPr>
          <w:p>
            <w:pPr>
              <w:spacing w:after="80"/>
            </w:pPr>
            <w:r>
              <w:t xml:space="preserve"/>
            </w:r>
          </w:p>
        </w:tc>
      </w:tr>
      <w:tr>
        <w:tc>
          <w:tcPr>
            <w:tcW w:type="dxa" w:w="1900"/>
          </w:tcPr>
          <w:p>
            <w:pPr>
              <w:spacing w:after="80"/>
            </w:pPr>
            <w:r>
              <w:t xml:space="preserve">Chunk</w:t>
            </w:r>
          </w:p>
        </w:tc>
        <w:tc>
          <w:tcPr>
            <w:tcW w:type="dxa" w:w="2700"/>
          </w:tcPr>
          <w:p>
            <w:pPr>
              <w:spacing w:after="80"/>
            </w:pPr>
            <w:r>
              <w:t xml:space="preserve"/>
            </w:r>
          </w:p>
        </w:tc>
        <w:tc>
          <w:tcPr>
            <w:tcW w:type="dxa" w:w="2400"/>
          </w:tcPr>
          <w:p>
            <w:pPr>
              <w:spacing w:after="80"/>
            </w:pPr>
            <w:r>
              <w:t xml:space="preserve"/>
            </w:r>
          </w:p>
        </w:tc>
        <w:tc>
          <w:tcPr>
            <w:tcW w:type="dxa" w:w="2360"/>
          </w:tcPr>
          <w:p>
            <w:pPr>
              <w:spacing w:after="80"/>
            </w:pPr>
            <w:r>
              <w:t xml:space="preserve"/>
            </w:r>
          </w:p>
        </w:tc>
      </w:tr>
      <w:tr>
        <w:tc>
          <w:tcPr>
            <w:tcW w:type="dxa" w:w="1900"/>
          </w:tcPr>
          <w:p>
            <w:pPr>
              <w:spacing w:after="80"/>
            </w:pPr>
            <w:r>
              <w:t xml:space="preserve">Embed</w:t>
            </w:r>
          </w:p>
        </w:tc>
        <w:tc>
          <w:tcPr>
            <w:tcW w:type="dxa" w:w="2700"/>
          </w:tcPr>
          <w:p>
            <w:pPr>
              <w:spacing w:after="80"/>
            </w:pPr>
            <w:r>
              <w:t xml:space="preserve"/>
            </w:r>
          </w:p>
        </w:tc>
        <w:tc>
          <w:tcPr>
            <w:tcW w:type="dxa" w:w="2400"/>
          </w:tcPr>
          <w:p>
            <w:pPr>
              <w:spacing w:after="80"/>
            </w:pPr>
            <w:r>
              <w:t xml:space="preserve"/>
            </w:r>
          </w:p>
        </w:tc>
        <w:tc>
          <w:tcPr>
            <w:tcW w:type="dxa" w:w="2360"/>
          </w:tcPr>
          <w:p>
            <w:pPr>
              <w:spacing w:after="80"/>
            </w:pPr>
            <w:r>
              <w:t xml:space="preserve"/>
            </w:r>
          </w:p>
        </w:tc>
      </w:tr>
      <w:tr>
        <w:tc>
          <w:tcPr>
            <w:tcW w:type="dxa" w:w="1900"/>
          </w:tcPr>
          <w:p>
            <w:pPr>
              <w:spacing w:after="80"/>
            </w:pPr>
            <w:r>
              <w:t xml:space="preserve">Index</w:t>
            </w:r>
          </w:p>
        </w:tc>
        <w:tc>
          <w:tcPr>
            <w:tcW w:type="dxa" w:w="2700"/>
          </w:tcPr>
          <w:p>
            <w:pPr>
              <w:spacing w:after="80"/>
            </w:pPr>
            <w:r>
              <w:t xml:space="preserve"/>
            </w:r>
          </w:p>
        </w:tc>
        <w:tc>
          <w:tcPr>
            <w:tcW w:type="dxa" w:w="2400"/>
          </w:tcPr>
          <w:p>
            <w:pPr>
              <w:spacing w:after="80"/>
            </w:pPr>
            <w:r>
              <w:t xml:space="preserve"/>
            </w:r>
          </w:p>
        </w:tc>
        <w:tc>
          <w:tcPr>
            <w:tcW w:type="dxa" w:w="2360"/>
          </w:tcPr>
          <w:p>
            <w:pPr>
              <w:spacing w:after="80"/>
            </w:pPr>
            <w: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The pipeline in one line</w:t>
            </w:r>
          </w:p>
          <w:p>
            <w:pPr>
              <w:spacing w:after="80"/>
            </w:pPr>
            <w:r>
              <w:rPr>
                <w:i/>
                <w:iCs/>
                <w:color w:val="595959"/>
                <w:sz w:val="18"/>
                <w:szCs w:val="18"/>
              </w:rPr>
              <w:t xml:space="preserve">pages → clean → (enhance) → layout → OCR → chunk → embed → store. Note anything you changed from the default.</w:t>
            </w:r>
          </w:p>
        </w:tc>
        <w:tc>
          <w:tcPr>
            <w:tcW w:type="dxa" w:w="5860"/>
          </w:tcPr>
          <w:p>
            <w:pPr>
              <w:spacing w:after="80"/>
            </w:pPr>
            <w:r>
              <w:t xml:space="preserve"/>
            </w:r>
          </w:p>
        </w:tc>
      </w:tr>
    </w:tbl>
    <w:p>
      <w:pPr>
        <w:pStyle w:val="Heading2"/>
        <w:spacing w:after="100" w:before="240"/>
      </w:pPr>
      <w:r>
        <w:rPr>
          <w:b/>
          <w:bCs/>
          <w:color w:val="1F3864"/>
          <w:sz w:val="26"/>
          <w:szCs w:val="26"/>
        </w:rPr>
        <w:t xml:space="preserve">Section 5 — Evidence It Works</w:t>
      </w:r>
    </w:p>
    <w:p>
      <w:pPr>
        <w:spacing w:after="100"/>
      </w:pPr>
      <w:r>
        <w:rPr>
          <w:i/>
          <w:iCs/>
          <w:color w:val="595959"/>
          <w:sz w:val="18"/>
          <w:szCs w:val="18"/>
        </w:rPr>
        <w:t xml:space="preserve">A build milestone needs proof, not promises. Show real numbers and one real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OCR quality on a sample</w:t>
            </w:r>
          </w:p>
          <w:p>
            <w:pPr>
              <w:spacing w:after="80"/>
            </w:pPr>
            <w:r>
              <w:rPr>
                <w:i/>
                <w:iCs/>
                <w:color w:val="595959"/>
                <w:sz w:val="18"/>
                <w:szCs w:val="18"/>
              </w:rPr>
              <w:t xml:space="preserve">measure reading quality on a labelled sample (character/word error rate, or F1). State the number and the sample size.</w:t>
            </w:r>
          </w:p>
        </w:tc>
        <w:tc>
          <w:tcPr>
            <w:tcW w:type="dxa" w:w="5860"/>
          </w:tcPr>
          <w:p>
            <w:pPr>
              <w:spacing w:after="80"/>
            </w:pPr>
            <w:r>
              <w:t xml:space="preserve"/>
            </w:r>
          </w:p>
        </w:tc>
      </w:tr>
      <w:tr>
        <w:tc>
          <w:tcPr>
            <w:tcW w:type="dxa" w:w="3500"/>
            <w:shd w:fill="F2F2F2" w:val="clear"/>
          </w:tcPr>
          <w:p>
            <w:pPr>
              <w:spacing w:after="80"/>
            </w:pPr>
            <w:r>
              <w:rPr>
                <w:b/>
                <w:bCs/>
              </w:rPr>
              <w:t xml:space="preserve">Index statistics</w:t>
            </w:r>
          </w:p>
          <w:p>
            <w:pPr>
              <w:spacing w:after="80"/>
            </w:pPr>
            <w:r>
              <w:rPr>
                <w:i/>
                <w:iCs/>
                <w:color w:val="595959"/>
                <w:sz w:val="18"/>
                <w:szCs w:val="18"/>
              </w:rPr>
              <w:t xml:space="preserve">chunks indexed, embedding dimension, index type, corpus coverage (pages/words indexed vs total).</w:t>
            </w:r>
          </w:p>
        </w:tc>
        <w:tc>
          <w:tcPr>
            <w:tcW w:type="dxa" w:w="5860"/>
          </w:tcPr>
          <w:p>
            <w:pPr>
              <w:spacing w:after="80"/>
            </w:pPr>
            <w:r>
              <w:t xml:space="preserve"/>
            </w:r>
          </w:p>
        </w:tc>
      </w:tr>
      <w:tr>
        <w:tc>
          <w:tcPr>
            <w:tcW w:type="dxa" w:w="3500"/>
            <w:shd w:fill="F2F2F2" w:val="clear"/>
          </w:tcPr>
          <w:p>
            <w:pPr>
              <w:spacing w:after="80"/>
            </w:pPr>
            <w:r>
              <w:rPr>
                <w:b/>
                <w:bCs/>
              </w:rPr>
              <w:t xml:space="preserve">One retrieval example</w:t>
            </w:r>
          </w:p>
          <w:p>
            <w:pPr>
              <w:spacing w:after="80"/>
            </w:pPr>
            <w:r>
              <w:rPr>
                <w:i/>
                <w:iCs/>
                <w:color w:val="595959"/>
                <w:sz w:val="18"/>
                <w:szCs w:val="18"/>
              </w:rPr>
              <w:t xml:space="preserve">a real query, the top chunk returned, and whether it's the right page. Show one that worked.</w:t>
            </w:r>
          </w:p>
        </w:tc>
        <w:tc>
          <w:tcPr>
            <w:tcW w:type="dxa" w:w="5860"/>
          </w:tcPr>
          <w:p>
            <w:pPr>
              <w:spacing w:after="80"/>
            </w:pPr>
            <w:r>
              <w:t xml:space="preserve"/>
            </w:r>
          </w:p>
        </w:tc>
      </w:tr>
      <w:tr>
        <w:tc>
          <w:tcPr>
            <w:tcW w:type="dxa" w:w="3500"/>
            <w:shd w:fill="F2F2F2" w:val="clear"/>
          </w:tcPr>
          <w:p>
            <w:pPr>
              <w:spacing w:after="80"/>
            </w:pPr>
            <w:r>
              <w:rPr>
                <w:b/>
                <w:bCs/>
              </w:rPr>
              <w:t xml:space="preserve">The worst failure we saw</w:t>
            </w:r>
          </w:p>
          <w:p>
            <w:pPr>
              <w:spacing w:after="80"/>
            </w:pPr>
            <w:r>
              <w:rPr>
                <w:i/>
                <w:iCs/>
                <w:color w:val="595959"/>
                <w:sz w:val="18"/>
                <w:szCs w:val="18"/>
              </w:rPr>
              <w:t xml:space="preserve">where reading or retrieval failed badly, and your read on why (honest — this shapes A3).</w:t>
            </w:r>
          </w:p>
        </w:tc>
        <w:tc>
          <w:tcPr>
            <w:tcW w:type="dxa" w:w="5860"/>
          </w:tcPr>
          <w:p>
            <w:pPr>
              <w:spacing w:after="80"/>
            </w:pPr>
            <w:r>
              <w:t xml:space="preserve"/>
            </w:r>
          </w:p>
        </w:tc>
      </w:tr>
    </w:tbl>
    <w:p>
      <w:pPr>
        <w:pStyle w:val="Heading2"/>
        <w:spacing w:after="100" w:before="240"/>
      </w:pPr>
      <w:r>
        <w:rPr>
          <w:b/>
          <w:bCs/>
          <w:color w:val="1F3864"/>
          <w:sz w:val="26"/>
          <w:szCs w:val="26"/>
        </w:rPr>
        <w:t xml:space="preserve">Section 6 — The Plan for A3</w:t>
      </w:r>
    </w:p>
    <w:p>
      <w:pPr>
        <w:spacing w:after="100"/>
      </w:pPr>
      <w:r>
        <w:rPr>
          <w:i/>
          <w:iCs/>
          <w:color w:val="595959"/>
          <w:sz w:val="18"/>
          <w:szCs w:val="18"/>
        </w:rPr>
        <w:t xml:space="preserve">What's left: turn the knowledge base into an answering agent, then evaluate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F2F2F2" w:val="clear"/>
          </w:tcPr>
          <w:p>
            <w:pPr>
              <w:spacing w:after="80"/>
            </w:pPr>
            <w:r>
              <w:rPr>
                <w:b/>
                <w:bCs/>
              </w:rPr>
              <w:t xml:space="preserve">What we'll build next</w:t>
            </w:r>
          </w:p>
          <w:p>
            <w:pPr>
              <w:spacing w:after="80"/>
            </w:pPr>
            <w:r>
              <w:rPr>
                <w:i/>
                <w:iCs/>
                <w:color w:val="595959"/>
                <w:sz w:val="18"/>
                <w:szCs w:val="18"/>
              </w:rPr>
              <w:t xml:space="preserve">retrieval + rerank, the agent loop + tools, guardrails/HITL, grounding, evaluation — and RL/RLVR if you attempt the bonus.</w:t>
            </w:r>
          </w:p>
          <w:p>
            <w:r>
              <w:t xml:space="preserve">Carry the agent forward: in A3 it must do evidence-gated re-search (widen k on weak evidence, abstain at k_max) — the mandatory agentic behaviour, graded fail-closed in A3.</w:t>
            </w:r>
          </w:p>
        </w:tc>
        <w:tc>
          <w:tcPr>
            <w:tcW w:type="dxa" w:w="5860"/>
          </w:tcPr>
          <w:p>
            <w:r/>
            <w:r>
              <w:t>Retrieval is already minimally in place (dense top-k with scores). A3 adds, in build order: (1) the bge cross-encoder reranker - gated for us, because our biggest observed retrieval failure is topically-similar prose outranking the figure region that actually holds the number; (2) the LLM client and prompt registry; (3) the nine fixed tools; (4) the agent loop's decide/act/synthesize, carrying the MANDATORY evidence-gated re-search - if top_score &lt; weak_threshold, widen k by k_step and retrieve again, abstaining once k would exceed k_max. The knobs (k=10, k_step=10, k_max=40, weak_threshold=0.35) and the helpers is_weak()/next_k()/top_score() are already in configs/config.yaml and retrieval/retriever.py; (5) the grounding gate wired to BEFORE_ANSWER so an answer with no traceable page and bbox abstains; (6) tracing to traces/run.jsonl; (7) eval/metrics.py for per-stratum answer-F1, and the ablation. RL/RLVR only if time allows.</w:t>
            </w:r>
          </w:p>
        </w:tc>
      </w:tr>
      <w:tr>
        <w:tc>
          <w:tcPr>
            <w:tcW w:type="dxa" w:w="3500"/>
            <w:shd w:fill="F2F2F2" w:val="clear"/>
          </w:tcPr>
          <w:p>
            <w:pPr>
              <w:spacing w:after="80"/>
            </w:pPr>
            <w:r>
              <w:rPr>
                <w:b/>
                <w:bCs/>
              </w:rPr>
              <w:t xml:space="preserve">Our evaluation set</w:t>
            </w:r>
          </w:p>
          <w:p>
            <w:pPr>
              <w:spacing w:after="80"/>
            </w:pPr>
            <w:r>
              <w:rPr>
                <w:i/>
                <w:iCs/>
                <w:color w:val="595959"/>
                <w:sz w:val="18"/>
                <w:szCs w:val="18"/>
              </w:rPr>
              <w:t xml:space="preserve">how you'll write tasks.jsonl for YOUR domain — the questions your real user would ask; include enough checkable (verifiable) items and abstention cases.</w:t>
            </w:r>
          </w:p>
        </w:tc>
        <w:tc>
          <w:tcPr>
            <w:tcW w:type="dxa" w:w="5860"/>
          </w:tcPr>
          <w:p>
            <w:r/>
            <w:r>
              <w:t>tasks.jsonl is authored from SciEGQA-Bench's own annotations, so every item is checkable against a known evidence page and bounding box rather than our opinion. We stratify by S1/S2/S3 and record each task's expected stratum, so the robustness gap is measured directly rather than inferred. Verifiable short-span and numeric answers dominate, so grading stays objective. Abstention cases are included deliberately: questions whose evidence page we hold out of the index, where the correct behaviour is silence. We also include the required needs_research:true/false pair - a control item answerable from the top chunk, and a trigger item whose answer is not on the top chunk so the agent must widen k for the A3 agentic gate to see re-search fire.</w:t>
            </w:r>
          </w:p>
        </w:tc>
      </w:tr>
      <w:tr>
        <w:tc>
          <w:tcPr>
            <w:tcW w:type="dxa" w:w="3500"/>
            <w:shd w:fill="F2F2F2" w:val="clear"/>
          </w:tcPr>
          <w:p>
            <w:pPr>
              <w:spacing w:after="80"/>
            </w:pPr>
            <w:r>
              <w:rPr>
                <w:b/>
                <w:bCs/>
              </w:rPr>
              <w:t xml:space="preserve">Biggest risk / unknown</w:t>
            </w:r>
          </w:p>
          <w:p>
            <w:pPr>
              <w:spacing w:after="80"/>
            </w:pPr>
            <w:r>
              <w:rPr>
                <w:i/>
                <w:iCs/>
                <w:color w:val="595959"/>
                <w:sz w:val="18"/>
                <w:szCs w:val="18"/>
              </w:rPr>
              <w:t xml:space="preserve">the thing most likely to break in A3, and your first idea to handle it.</w:t>
            </w:r>
          </w:p>
        </w:tc>
        <w:tc>
          <w:tcPr>
            <w:tcW w:type="dxa" w:w="5860"/>
          </w:tcPr>
          <w:p>
            <w:r/>
            <w:r>
              <w:t>The biggest risk is memorisation, and it is specific to our corpus: these are real arXiv papers, so the answering model has very likely seen them in pretraining and can produce a plausible number from parametric memory without reading the page at all - which looks like success and is not. Our first move is the memorisation probe: re-run a sample with the page image withheld and treat anything still answered correctly as a warning, not a win. The second risk is more ordinary: our retrieval misses concentrate on figure-evidence questions, where a question about what a figure SHOWS shares little surface vocabulary with the caption that represents it. The reranker is the first fix; if it is not enough, the answer is to index a short VLM-written description of each figure region alongside its transcription.</w:t>
            </w:r>
          </w:p>
        </w:tc>
      </w:tr>
    </w:tbl>
    <w:p>
      <w:pPr>
        <w:pStyle w:val="Heading2"/>
        <w:spacing w:after="100" w:before="240"/>
      </w:pPr>
      <w:r>
        <w:rPr>
          <w:b/>
          <w:bCs/>
          <w:color w:val="1F3864"/>
          <w:sz w:val="26"/>
          <w:szCs w:val="26"/>
        </w:rPr>
        <w:t xml:space="preserve">Section 7 — Design Choices &amp; Justification (knowledge-base stages)</w:t>
      </w:r>
    </w:p>
    <w:p>
      <w:pPr>
        <w:spacing w:after="100"/>
      </w:pPr>
      <w:r>
        <w:t xml:space="preserve">Extend the eight-facet table to the stages you built (Stages 1–4). This is the graded design artifact (</w:t>
      </w:r>
      <w:r>
        <w:rPr>
          <w:i/>
          <w:iCs/>
          <w:color w:val="595959"/>
          <w:sz w:val="18"/>
          <w:szCs w:val="18"/>
        </w:rPr>
        <w:t xml:space="preserve">configs/design_choices.md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1F3864" w:val="clear"/>
          </w:tcPr>
          <w:p>
            <w:pPr>
              <w:spacing w:after="80"/>
            </w:pPr>
            <w:r>
              <w:rPr>
                <w:b/>
                <w:bCs/>
                <w:color w:val="FFFFFF"/>
              </w:rPr>
              <w:t xml:space="preserve">Facet</w:t>
            </w:r>
          </w:p>
        </w:tc>
        <w:tc>
          <w:tcPr>
            <w:tcW w:type="dxa" w:w="3400"/>
            <w:shd w:fill="1F3864" w:val="clear"/>
          </w:tcPr>
          <w:p>
            <w:pPr>
              <w:spacing w:after="80"/>
            </w:pPr>
            <w:r>
              <w:rPr>
                <w:b/>
                <w:bCs/>
                <w:color w:val="FFFFFF"/>
              </w:rPr>
              <w:t xml:space="preserve">Our choice across the knowledge-base stages</w:t>
            </w:r>
          </w:p>
        </w:tc>
        <w:tc>
          <w:tcPr>
            <w:tcW w:type="dxa" w:w="3760"/>
            <w:shd w:fill="1F3864" w:val="clear"/>
          </w:tcPr>
          <w:p>
            <w:pPr>
              <w:spacing w:after="80"/>
            </w:pPr>
            <w:r>
              <w:rPr>
                <w:b/>
                <w:bCs/>
                <w:color w:val="FFFFFF"/>
              </w:rPr>
              <w:t xml:space="preserve">Why — fits our corpus · what it costs · what would change it</w:t>
            </w:r>
          </w:p>
        </w:tc>
      </w:tr>
      <w:tr>
        <w:tc>
          <w:tcPr>
            <w:tcW w:type="dxa" w:w="2200"/>
          </w:tcPr>
          <w:p>
            <w:pPr>
              <w:spacing w:after="80"/>
            </w:pPr>
            <w:r>
              <w:t xml:space="preserve">Problem statement</w:t>
            </w:r>
          </w:p>
        </w:tc>
        <w:tc>
          <w:tcPr>
            <w:tcW w:type="dxa" w:w="3400"/>
          </w:tcPr>
          <w:p>
            <w:r/>
            <w:r>
              <w:t>Turn 1,823 scanned pages into searchable text without losing which box on which page each piece came from. Success: the knowledge base supports the A1 metric (pooled answer-F1 &gt;= 0.70) and the robustness gate F1(S1)-F1(S3) &lt;= 8, both judged in A3; at A2 the proxy is measured OCR quality per stratum and evidence-page recall.</w:t>
            </w:r>
          </w:p>
        </w:tc>
        <w:tc>
          <w:tcPr>
            <w:tcW w:type="dxa" w:w="3760"/>
          </w:tcPr>
          <w:p>
            <w:r/>
            <w:r>
              <w:t>These stages cannot themselves answer questions, so their success has to be stated as what they make possible. Cost: the per-stratum framing means we cannot report a flattering average. What would change our mind: if OCR quality were uniform across strata, a pooled number would be honest and simpler.</w:t>
            </w:r>
          </w:p>
        </w:tc>
      </w:tr>
      <w:tr>
        <w:tc>
          <w:tcPr>
            <w:tcW w:type="dxa" w:w="2200"/>
          </w:tcPr>
          <w:p>
            <w:pPr>
              <w:spacing w:after="80"/>
            </w:pPr>
            <w:r>
              <w:t xml:space="preserve">Data</w:t>
            </w:r>
          </w:p>
        </w:tc>
        <w:tc>
          <w:tcPr>
            <w:tcW w:type="dxa" w:w="3400"/>
          </w:tcPr>
          <w:p>
            <w:r/>
            <w:r>
              <w:t>SciEGQA-Bench at pinned revision 9bdca77b: 80 arXiv PDFs -&gt; 1,823 pages rendered at 300 DPI greyscale, 788,265 words. Labels used: the corpus's own rel_bbox + subimg_type as region annotations, and an 18-page hand-checked transcription oracle. Split 70/15/15 BY DOCUMENT (56/16/8 docs), stratified by category, seed 42.</w:t>
            </w:r>
          </w:p>
        </w:tc>
        <w:tc>
          <w:tcPr>
            <w:tcW w:type="dxa" w:w="3760"/>
          </w:tcPr>
          <w:p>
            <w:r/>
            <w:r>
              <w:t>The Bench split is the only one whose evidence is typed text/table/image - all 30,780 Train rows are labelled 'image' - so our S1/S2/S3 strata, and therefore our NFR, can only be built here. Cost: 1,823 pages rather than the 51.8k A1 estimated, which we disclose as indexed-vs-total. Splitting by document makes the leak A1 named structurally impossible; validate.py asserts it. What would change our mind: a corpus with typed evidence at larger scale.</w:t>
            </w:r>
          </w:p>
        </w:tc>
      </w:tr>
      <w:tr>
        <w:tc>
          <w:tcPr>
            <w:tcW w:type="dxa" w:w="2200"/>
          </w:tcPr>
          <w:p>
            <w:pPr>
              <w:spacing w:after="80"/>
            </w:pPr>
            <w:r>
              <w:t xml:space="preserve">Model</w:t>
            </w:r>
          </w:p>
        </w:tc>
        <w:tc>
          <w:tcPr>
            <w:tcW w:type="dxa" w:w="3400"/>
          </w:tcPr>
          <w:p>
            <w:r/>
            <w:r>
              <w:t>Stage 1 none (deterministic ops). Stage 2 none learned (projection + morphology) over the corpus's own boxes. Stage 3 facebook/nougat-base, pretrained. Stage 4 BAAI/bge-base-en-v1.5, pretrained.</w:t>
            </w:r>
          </w:p>
        </w:tc>
        <w:tc>
          <w:tcPr>
            <w:tcW w:type="dxa" w:w="3760"/>
          </w:tcPr>
          <w:p>
            <w:r/>
            <w:r>
              <w:t>One reproduced published method (Nougat) where it matters most, and no learned model where a deterministic one is provably sufficient. Cost: Nougat is a generative decoder, so it is slow and can fall into repetition loops on dense tables - we guard and count that rather than hide it. We do not fine-tune: with no transcription labels beyond the 18-page oracle we score against, fine-tuning would overfit the oracle. What would change our mind: a separate labelled training split.</w:t>
            </w:r>
          </w:p>
        </w:tc>
      </w:tr>
      <w:tr>
        <w:tc>
          <w:tcPr>
            <w:tcW w:type="dxa" w:w="2200"/>
          </w:tcPr>
          <w:p>
            <w:pPr>
              <w:spacing w:after="80"/>
            </w:pPr>
            <w:r>
              <w:t xml:space="preserve">Methods</w:t>
            </w:r>
          </w:p>
        </w:tc>
        <w:tc>
          <w:tcPr>
            <w:tcW w:type="dxa" w:w="3400"/>
          </w:tcPr>
          <w:p>
            <w:r/>
            <w:r>
              <w:t>Render 300 DPI at native page size; NFKC + maths punctuation normalisation; no deskew/denoise/binarize. Layout: gutter via banded projection, blocks via morphological closing, reading order = band, then column, then y. OCR: full-page pass for prose, separate pass per figure/table crop with 8px padding, fp16, max_new_tokens 3584, batch auto-sized to VRAM. Index: 256-token chunks / 32 overlap, region-aware, normalised embeddings.</w:t>
            </w:r>
          </w:p>
        </w:tc>
        <w:tc>
          <w:tcPr>
            <w:tcW w:type="dxa" w:w="3760"/>
          </w:tcPr>
          <w:p>
            <w:r/>
            <w:r>
              <w:t>Every parameter is set by a property of this corpus. 300 DPI because that is the frame the annotations were authored in - verified: bbox == rel_bbox/1000 x page_pixels. 8px crop padding because tight boxes clip subscripts. Two OCR paths because 56.1% of evidence is inside a region. Cost: one model call per page plus one per region. What would change our mind: illegible small-font crops would push us to 600 DPI for crops only.</w:t>
            </w:r>
          </w:p>
        </w:tc>
      </w:tr>
      <w:tr>
        <w:tc>
          <w:tcPr>
            <w:tcW w:type="dxa" w:w="2200"/>
          </w:tcPr>
          <w:p>
            <w:pPr>
              <w:spacing w:after="80"/>
            </w:pPr>
            <w:r>
              <w:t xml:space="preserve">Design</w:t>
            </w:r>
          </w:p>
        </w:tc>
        <w:tc>
          <w:tcPr>
            <w:tcW w:type="dxa" w:w="3400"/>
          </w:tcPr>
          <w:p>
            <w:r/>
            <w:r>
              <w:t>A fixed stage order (pipeline.py) with typed contracts on every boundary: Page -&gt; list[Region] in reading order -&gt; list[Chunk] -&gt; vectors -&gt; FAISS + chunks.jsonl. Region order IS the contract Stage 3 consumes. PII redaction is wired at the AFTER_OCR seam, between reading and indexing.</w:t>
            </w:r>
          </w:p>
        </w:tc>
        <w:tc>
          <w:tcPr>
            <w:tcW w:type="dxa" w:w="3760"/>
          </w:tcPr>
          <w:p>
            <w:r/>
            <w:r>
              <w:t>The contracts are locked and cannot gain fields, so per-page and per-region metadata lives in sidecars (PAGE_META, REGION_META) keyed by id rather than in the types. Cost: two lookup tables to keep in sync with the objects. PII sits at AFTER_OCR because that is the last point where text exists but is not yet searchable. What would change our mind: needing region provenance inside Chunk, which the fixed contract forbids - we encode it in chunk.id instead.</w:t>
            </w:r>
          </w:p>
        </w:tc>
      </w:tr>
      <w:tr>
        <w:tc>
          <w:tcPr>
            <w:tcW w:type="dxa" w:w="2200"/>
          </w:tcPr>
          <w:p>
            <w:pPr>
              <w:spacing w:after="80"/>
            </w:pPr>
            <w:r>
              <w:t xml:space="preserve">Development</w:t>
            </w:r>
          </w:p>
        </w:tc>
        <w:tc>
          <w:tcPr>
            <w:tcW w:type="dxa" w:w="3400"/>
          </w:tcPr>
          <w:p>
            <w:r/>
            <w:r>
              <w:t>Assertions where silent failure is possible: page geometry vs manifest, embed.dim vs the model's real output, corpus floors and zero split leakage before any model runs. All tunables in configs/config.yaml only. Structured JSON logging, never print. OCR results cached per page so a run resumes. Structure lock + contracts + tools tests green; ruff, black and mypy clean on the modules we wrote.</w:t>
            </w:r>
          </w:p>
        </w:tc>
        <w:tc>
          <w:tcPr>
            <w:tcW w:type="dxa" w:w="3760"/>
          </w:tcPr>
          <w:p>
            <w:r/>
            <w:r>
              <w:t>The tests target the failures that would otherwise surface much later as unexplained OCR errors - the geometry assertion already caught a one-pixel truncation bug in our own manifest on A4 pages. Cost: a build that stops on conditions a laxer pipeline would ignore. What would change our mind: adding a learned stage, which would need seed control and metric logging well beyond assertions.</w:t>
            </w:r>
          </w:p>
        </w:tc>
      </w:tr>
      <w:tr>
        <w:tc>
          <w:tcPr>
            <w:tcW w:type="dxa" w:w="2200"/>
          </w:tcPr>
          <w:p>
            <w:pPr>
              <w:spacing w:after="80"/>
            </w:pPr>
            <w:r>
              <w:t xml:space="preserve">Deployment</w:t>
            </w:r>
          </w:p>
        </w:tc>
        <w:tc>
          <w:tcPr>
            <w:tcW w:type="dxa" w:w="3400"/>
          </w:tcPr>
          <w:p>
            <w:r/>
            <w:r>
              <w:t>Offline batch, run once per corpus revision, results cached to disk. GPU for OCR and embedding (batch auto-sized from VRAM, with an out-of-memory fallback to one page at a time); CPU is sufficient for everything else. The built index is committed to the repository.</w:t>
            </w:r>
          </w:p>
        </w:tc>
        <w:tc>
          <w:tcPr>
            <w:tcW w:type="dxa" w:w="3760"/>
          </w:tcPr>
          <w:p>
            <w:r/>
            <w:r>
              <w:t>The corpus is static, so paying ingest cost at query time buys nothing. Batching is the knob that decides whether the corpus takes 20 minutes or three hours, so it is auto-sized rather than hard-coded to one machine. The index ships in the repo specifically so kb_demo.ipynb runs for a grader with no GPU. Cost: build time and ~tens of MB in git. What would change our mind: user-uploaded PDFs, which turn this into online ingest.</w:t>
            </w:r>
          </w:p>
        </w:tc>
      </w:tr>
      <w:tr>
        <w:tc>
          <w:tcPr>
            <w:tcW w:type="dxa" w:w="2200"/>
          </w:tcPr>
          <w:p>
            <w:pPr>
              <w:spacing w:after="80"/>
            </w:pPr>
            <w:r>
              <w:t xml:space="preserve">MLOps</w:t>
            </w:r>
          </w:p>
        </w:tc>
        <w:tc>
          <w:tcPr>
            <w:tcW w:type="dxa" w:w="3400"/>
          </w:tcPr>
          <w:p>
            <w:r/>
            <w:r>
              <w:t>Corpus pinned to an exact HF revision; corpus_version = hash of manifest+qa+splits; every index tagged with its embedding model, chunk parameters and corpus counts in index_meta.json. Monitoring, once serving: out-of-bounds crops and empty transcriptions as build regressions, and retrieval score distribution drift.</w:t>
            </w:r>
          </w:p>
        </w:tc>
        <w:tc>
          <w:tcPr>
            <w:tcW w:type="dxa" w:w="3760"/>
          </w:tcPr>
          <w:p>
            <w:r/>
            <w:r>
              <w:t>Reproducibility is the whole point when the corpus is itself the ground truth, so pinning and tagging matter more than live metrics for a static batch. We hash the manifest rather than 0.58 GB of PNGs because the manifest already names every page, its size and its split. Cost: discipline around revisions. What would change our mind: a live document source, which turns the rebuild trigger into streaming ingest needing real drift monitoring.</w:t>
            </w:r>
          </w:p>
        </w:tc>
      </w:tr>
    </w:tbl>
    <w:p>
      <w:pPr>
        <w:pStyle w:val="Heading2"/>
        <w:spacing w:after="100" w:before="240"/>
      </w:pPr>
      <w:r>
        <w:rPr>
          <w:b/>
          <w:bCs/>
          <w:color w:val="1F3864"/>
          <w:sz w:val="26"/>
          <w:szCs w:val="26"/>
        </w:rPr>
        <w:t xml:space="preserve">Section 8 — How We Worked With AI</w:t>
      </w:r>
    </w:p>
    <w:p>
      <w:pPr>
        <w:spacing w:after="100"/>
      </w:pPr>
      <w:r>
        <w:t xml:space="preserve">One transcript per team member. Each member submits one plain-text file named exactly </w:t>
      </w:r>
      <w:r>
        <w:rPr>
          <w:i/>
          <w:iCs/>
          <w:color w:val="595959"/>
          <w:sz w:val="18"/>
          <w:szCs w:val="18"/>
        </w:rPr>
        <w:t xml:space="preserve">&lt;their student number&gt;.txt</w:t>
      </w:r>
      <w:r>
        <w:t xml:space="preserve">, containing the full AI conversation behind the sections they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Pr>
          <w:p>
            <w:pPr>
              <w:spacing w:after="80"/>
            </w:pPr>
            <w:r>
              <w:rPr>
                <w:b/>
                <w:bCs/>
                <w:color w:val="FFFFFF"/>
              </w:rPr>
              <w:t xml:space="preserve">Each .txt file must contain</w:t>
            </w:r>
          </w:p>
        </w:tc>
        <w:tc>
          <w:tcPr>
            <w:tcW w:type="dxa" w:w="5960"/>
            <w:shd w:fill="1F3864" w:val="clear"/>
          </w:tcPr>
          <w:p>
            <w:pPr>
              <w:spacing w:after="80"/>
            </w:pPr>
            <w:r>
              <w:rPr>
                <w:b/>
                <w:bCs/>
                <w:color w:val="FFFFFF"/>
              </w:rPr>
              <w:t xml:space="preserve">In this order</w:t>
            </w:r>
          </w:p>
        </w:tc>
      </w:tr>
      <w:tr>
        <w:tc>
          <w:tcPr>
            <w:tcW w:type="dxa" w:w="3400"/>
          </w:tcPr>
          <w:p>
            <w:pPr>
              <w:spacing w:after="80"/>
            </w:pPr>
            <w:r>
              <w:t xml:space="preserve">Header</w:t>
            </w:r>
          </w:p>
        </w:tc>
        <w:tc>
          <w:tcPr>
            <w:tcW w:type="dxa" w:w="5960"/>
          </w:tcPr>
          <w:p>
            <w:pPr>
              <w:spacing w:after="80"/>
            </w:pPr>
            <w:r>
              <w:rPr>
                <w:i/>
                <w:iCs/>
                <w:color w:val="595959"/>
                <w:sz w:val="18"/>
                <w:szCs w:val="18"/>
              </w:rPr>
              <w:t xml:space="preserve">member name, student number, sections led</w:t>
            </w:r>
          </w:p>
        </w:tc>
      </w:tr>
      <w:tr>
        <w:tc>
          <w:tcPr>
            <w:tcW w:type="dxa" w:w="3400"/>
          </w:tcPr>
          <w:p>
            <w:pPr>
              <w:spacing w:after="80"/>
            </w:pPr>
            <w:r>
              <w:t xml:space="preserve">The full conversation</w:t>
            </w:r>
          </w:p>
        </w:tc>
        <w:tc>
          <w:tcPr>
            <w:tcW w:type="dxa" w:w="5960"/>
          </w:tcPr>
          <w:p>
            <w:pPr>
              <w:spacing w:after="80"/>
            </w:pPr>
            <w:r>
              <w:rPr>
                <w:i/>
                <w:iCs/>
                <w:color w:val="595959"/>
                <w:sz w:val="18"/>
                <w:szCs w:val="18"/>
              </w:rPr>
              <w:t xml:space="preserve">every prompt and every AI reply, unedited</w:t>
            </w:r>
          </w:p>
        </w:tc>
      </w:tr>
      <w:tr>
        <w:tc>
          <w:tcPr>
            <w:tcW w:type="dxa" w:w="3400"/>
          </w:tcPr>
          <w:p>
            <w:pPr>
              <w:spacing w:after="80"/>
            </w:pPr>
            <w:r>
              <w:t xml:space="preserve">A short reflection</w:t>
            </w:r>
          </w:p>
        </w:tc>
        <w:tc>
          <w:tcPr>
            <w:tcW w:type="dxa" w:w="5960"/>
          </w:tcPr>
          <w:p>
            <w:pPr>
              <w:spacing w:after="80"/>
            </w:pPr>
            <w:r>
              <w:rPr>
                <w:i/>
                <w:iCs/>
                <w:color w:val="595959"/>
                <w:sz w:val="18"/>
                <w:szCs w:val="18"/>
              </w:rPr>
              <w:t xml:space="preserve">what you accepted, changed, or rejected, and why</w:t>
            </w:r>
          </w:p>
        </w:tc>
      </w:tr>
    </w:tbl>
    <w:p>
      <w:pPr>
        <w:pStyle w:val="Heading2"/>
        <w:spacing w:after="100" w:before="240"/>
      </w:pPr>
      <w:r>
        <w:rPr>
          <w:b/>
          <w:bCs/>
          <w:color w:val="1F3864"/>
          <w:sz w:val="26"/>
          <w:szCs w:val="26"/>
        </w:rPr>
        <w:t xml:space="preserve">Submission — Required Folder Structure</w:t>
      </w:r>
    </w:p>
    <w:p>
      <w:pPr>
        <w:spacing w:after="100"/>
      </w:pPr>
      <w:r>
        <w:t xml:space="preserve">The autograder enforces this exactly. ZIP named </w:t>
      </w:r>
      <w:r>
        <w:rPr>
          <w:i/>
          <w:iCs/>
          <w:color w:val="595959"/>
          <w:sz w:val="18"/>
          <w:szCs w:val="18"/>
        </w:rPr>
        <w:t xml:space="preserve">A2_&lt;your team id&gt;.zip</w:t>
      </w:r>
      <w:r>
        <w:t xml:space="preserve">, containing: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3864" w:val="clear"/>
          </w:tcPr>
          <w:p>
            <w:pPr>
              <w:spacing w:after="80"/>
            </w:pPr>
            <w:r>
              <w:rPr>
                <w:b/>
                <w:bCs/>
                <w:color w:val="FFFFFF"/>
              </w:rPr>
              <w:t xml:space="preserve">Path</w:t>
            </w:r>
          </w:p>
        </w:tc>
        <w:tc>
          <w:tcPr>
            <w:tcW w:type="dxa" w:w="5560"/>
            <w:shd w:fill="1F3864" w:val="clear"/>
          </w:tcPr>
          <w:p>
            <w:pPr>
              <w:spacing w:after="80"/>
            </w:pPr>
            <w:r>
              <w:rPr>
                <w:b/>
                <w:bCs/>
                <w:color w:val="FFFFFF"/>
              </w:rPr>
              <w:t xml:space="preserve">What it is</w:t>
            </w:r>
          </w:p>
        </w:tc>
      </w:tr>
      <w:tr>
        <w:tc>
          <w:tcPr>
            <w:tcW w:type="dxa" w:w="3800"/>
          </w:tcPr>
          <w:p>
            <w:pPr>
              <w:spacing w:after="80"/>
            </w:pPr>
            <w:r>
              <w:t xml:space="preserve">A2_form.docx</w:t>
            </w:r>
          </w:p>
        </w:tc>
        <w:tc>
          <w:tcPr>
            <w:tcW w:type="dxa" w:w="5560"/>
          </w:tcPr>
          <w:p>
            <w:pPr>
              <w:spacing w:after="80"/>
            </w:pPr>
            <w:r>
              <w:t xml:space="preserve">this filled form</w:t>
            </w:r>
          </w:p>
        </w:tc>
      </w:tr>
      <w:tr>
        <w:tc>
          <w:tcPr>
            <w:tcW w:type="dxa" w:w="3800"/>
          </w:tcPr>
          <w:p>
            <w:pPr>
              <w:spacing w:after="80"/>
            </w:pPr>
            <w:r>
              <w:t xml:space="preserve">src/doc_agent/  (ingest, vision, index)</w:t>
            </w:r>
          </w:p>
        </w:tc>
        <w:tc>
          <w:tcPr>
            <w:tcW w:type="dxa" w:w="5560"/>
          </w:tcPr>
          <w:p>
            <w:pPr>
              <w:spacing w:after="80"/>
            </w:pPr>
            <w:r>
              <w:t xml:space="preserve">the implemented knowledge-base stages</w:t>
            </w:r>
          </w:p>
        </w:tc>
      </w:tr>
      <w:tr>
        <w:tc>
          <w:tcPr>
            <w:tcW w:type="dxa" w:w="3800"/>
          </w:tcPr>
          <w:p>
            <w:pPr>
              <w:spacing w:after="80"/>
            </w:pPr>
            <w:r>
              <w:t xml:space="preserve">scripts/build_index.sh</w:t>
            </w:r>
          </w:p>
        </w:tc>
        <w:tc>
          <w:tcPr>
            <w:tcW w:type="dxa" w:w="5560"/>
          </w:tcPr>
          <w:p>
            <w:pPr>
              <w:spacing w:after="80"/>
            </w:pPr>
            <w:r>
              <w:t xml:space="preserve">builds the vector index (edit the stub)</w:t>
            </w:r>
          </w:p>
        </w:tc>
      </w:tr>
      <w:tr>
        <w:tc>
          <w:tcPr>
            <w:tcW w:type="dxa" w:w="3800"/>
          </w:tcPr>
          <w:p>
            <w:pPr>
              <w:spacing w:after="80"/>
            </w:pPr>
            <w:r>
              <w:t xml:space="preserve">notebooks/kb_demo.ipynb</w:t>
            </w:r>
          </w:p>
        </w:tc>
        <w:tc>
          <w:tcPr>
            <w:tcW w:type="dxa" w:w="5560"/>
          </w:tcPr>
          <w:p>
            <w:pPr>
              <w:spacing w:after="80"/>
            </w:pPr>
            <w:r>
              <w:t xml:space="preserve">OCR quality + one retrieval example (edit the stub)</w:t>
            </w:r>
          </w:p>
        </w:tc>
      </w:tr>
      <w:tr>
        <w:tc>
          <w:tcPr>
            <w:tcW w:type="dxa" w:w="3800"/>
          </w:tcPr>
          <w:p>
            <w:pPr>
              <w:spacing w:after="80"/>
            </w:pPr>
            <w:r>
              <w:t xml:space="preserve">reports/pipeline_diagram.md</w:t>
            </w:r>
          </w:p>
        </w:tc>
        <w:tc>
          <w:tcPr>
            <w:tcW w:type="dxa" w:w="5560"/>
          </w:tcPr>
          <w:p>
            <w:pPr>
              <w:spacing w:after="80"/>
            </w:pPr>
            <w:r>
              <w:t xml:space="preserve">a diagram of the knowledge-base pipeline (edit the stub)</w:t>
            </w:r>
          </w:p>
        </w:tc>
      </w:tr>
      <w:tr>
        <w:tc>
          <w:tcPr>
            <w:tcW w:type="dxa" w:w="3800"/>
          </w:tcPr>
          <w:p>
            <w:pPr>
              <w:spacing w:after="80"/>
            </w:pPr>
            <w:r>
              <w:t xml:space="preserve">configs/design_choices.md</w:t>
            </w:r>
          </w:p>
        </w:tc>
        <w:tc>
          <w:tcPr>
            <w:tcW w:type="dxa" w:w="5560"/>
          </w:tcPr>
          <w:p>
            <w:pPr>
              <w:spacing w:after="80"/>
            </w:pPr>
            <w:r>
              <w:t xml:space="preserve">updated with Stages 1–4</w:t>
            </w:r>
          </w:p>
        </w:tc>
      </w:tr>
      <w:tr>
        <w:tc>
          <w:tcPr>
            <w:tcW w:type="dxa" w:w="3800"/>
          </w:tcPr>
          <w:p>
            <w:pPr>
              <w:spacing w:after="80"/>
            </w:pPr>
            <w:r>
              <w:t xml:space="preserve">transcripts/&lt;student number&gt;.txt  ×3</w:t>
            </w:r>
          </w:p>
        </w:tc>
        <w:tc>
          <w:tcPr>
            <w:tcW w:type="dxa" w:w="5560"/>
          </w:tcPr>
          <w:p>
            <w:pPr>
              <w:spacing w:after="80"/>
            </w:pPr>
            <w:r>
              <w:t xml:space="preserve">one AI-chat transcript per member</w:t>
            </w:r>
          </w:p>
        </w:tc>
      </w:tr>
    </w:tbl>
    <w:p>
      <w:pPr>
        <w:pStyle w:val="Heading2"/>
        <w:spacing w:after="100" w:before="240"/>
      </w:pPr>
      <w:r>
        <w:rPr>
          <w:b/>
          <w:bCs/>
          <w:color w:val="1F3864"/>
          <w:sz w:val="26"/>
          <w:szCs w:val="26"/>
        </w:rPr>
        <w:t xml:space="preserve">How You'll Be Graded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1F2" w:val="clear"/>
          </w:tcPr>
          <w:p>
            <w:pPr>
              <w:spacing w:after="60"/>
            </w:pPr>
            <w:r>
              <w:rPr>
                <w:b/>
                <w:bCs/>
              </w:rPr>
              <w:t xml:space="preserve">Grounding gate: </w:t>
            </w:r>
            <w:r>
              <w:t xml:space="preserve">every claim in the form must match your own code, index, and notebook outputs. Numbers with no notebook evidence score zero for that item.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shd w:fill="1F3864" w:val="clear"/>
          </w:tcPr>
          <w:p>
            <w:pPr>
              <w:spacing w:after="80"/>
            </w:pPr>
            <w:r>
              <w:rPr>
                <w:b/>
                <w:bCs/>
                <w:color w:val="FFFFFF"/>
              </w:rPr>
              <w:t xml:space="preserve">What we assess</w:t>
            </w:r>
          </w:p>
        </w:tc>
        <w:tc>
          <w:tcPr>
            <w:tcW w:type="dxa" w:w="2000"/>
            <w:shd w:fill="1F3864" w:val="clear"/>
          </w:tcPr>
          <w:p>
            <w:pPr>
              <w:spacing w:after="80"/>
            </w:pPr>
            <w:r>
              <w:rPr>
                <w:b/>
                <w:bCs/>
                <w:color w:val="FFFFFF"/>
              </w:rPr>
              <w:t xml:space="preserve">Points</w:t>
            </w:r>
          </w:p>
        </w:tc>
      </w:tr>
      <w:tr>
        <w:tc>
          <w:tcPr>
            <w:tcW w:type="dxa" w:w="7360"/>
          </w:tcPr>
          <w:p>
            <w:pPr>
              <w:spacing w:after="80"/>
            </w:pPr>
            <w:r>
              <w:t xml:space="preserve">Section 1 — recap accurate and consistent with A1</w:t>
            </w:r>
          </w:p>
        </w:tc>
        <w:tc>
          <w:tcPr>
            <w:tcW w:type="dxa" w:w="2000"/>
          </w:tcPr>
          <w:p>
            <w:pPr>
              <w:spacing w:after="80"/>
            </w:pPr>
            <w:r>
              <w:t xml:space="preserve">5</w:t>
            </w:r>
          </w:p>
        </w:tc>
      </w:tr>
      <w:tr>
        <w:tc>
          <w:tcPr>
            <w:tcW w:type="dxa" w:w="7360"/>
          </w:tcPr>
          <w:p>
            <w:pPr>
              <w:spacing w:after="80"/>
            </w:pPr>
            <w:r>
              <w:t xml:space="preserve">Section 2 — structure and invariances identified correctly</w:t>
            </w:r>
          </w:p>
        </w:tc>
        <w:tc>
          <w:tcPr>
            <w:tcW w:type="dxa" w:w="2000"/>
          </w:tcPr>
          <w:p>
            <w:pPr>
              <w:spacing w:after="80"/>
            </w:pPr>
            <w:r>
              <w:t xml:space="preserve">10</w:t>
            </w:r>
          </w:p>
        </w:tc>
      </w:tr>
      <w:tr>
        <w:tc>
          <w:tcPr>
            <w:tcW w:type="dxa" w:w="7360"/>
          </w:tcPr>
          <w:p>
            <w:pPr>
              <w:spacing w:after="80"/>
            </w:pPr>
            <w:r>
              <w:t xml:space="preserve">Section 3 — options compared, with ≥1 reproduced published/pretrained method</w:t>
            </w:r>
          </w:p>
        </w:tc>
        <w:tc>
          <w:tcPr>
            <w:tcW w:type="dxa" w:w="2000"/>
          </w:tcPr>
          <w:p>
            <w:pPr>
              <w:spacing w:after="80"/>
            </w:pPr>
            <w:r>
              <w:t xml:space="preserve">20</w:t>
            </w:r>
          </w:p>
        </w:tc>
      </w:tr>
      <w:tr>
        <w:tc>
          <w:tcPr>
            <w:tcW w:type="dxa" w:w="7360"/>
          </w:tcPr>
          <w:p>
            <w:pPr>
              <w:spacing w:after="80"/>
            </w:pPr>
            <w:r>
              <w:t xml:space="preserve">Section 4 — knowledge base built; models and parameters justified</w:t>
            </w:r>
          </w:p>
        </w:tc>
        <w:tc>
          <w:tcPr>
            <w:tcW w:type="dxa" w:w="2000"/>
          </w:tcPr>
          <w:p>
            <w:pPr>
              <w:spacing w:after="80"/>
            </w:pPr>
            <w:r>
              <w:t xml:space="preserve">20</w:t>
            </w:r>
          </w:p>
        </w:tc>
      </w:tr>
      <w:tr>
        <w:tc>
          <w:tcPr>
            <w:tcW w:type="dxa" w:w="7360"/>
          </w:tcPr>
          <w:p>
            <w:pPr>
              <w:spacing w:after="80"/>
            </w:pPr>
            <w:r>
              <w:t xml:space="preserve">Section 5 — real evidence: OCR quality + a working retrieval</w:t>
            </w:r>
          </w:p>
        </w:tc>
        <w:tc>
          <w:tcPr>
            <w:tcW w:type="dxa" w:w="2000"/>
          </w:tcPr>
          <w:p>
            <w:pPr>
              <w:spacing w:after="80"/>
            </w:pPr>
            <w:r>
              <w:t xml:space="preserve">25</w:t>
            </w:r>
          </w:p>
        </w:tc>
      </w:tr>
      <w:tr>
        <w:tc>
          <w:tcPr>
            <w:tcW w:type="dxa" w:w="7360"/>
          </w:tcPr>
          <w:p>
            <w:pPr>
              <w:spacing w:after="80"/>
            </w:pPr>
            <w:r>
              <w:t xml:space="preserve">Section 6 — a concrete, sensible plan for A3</w:t>
            </w:r>
          </w:p>
        </w:tc>
        <w:tc>
          <w:tcPr>
            <w:tcW w:type="dxa" w:w="2000"/>
          </w:tcPr>
          <w:p>
            <w:pPr>
              <w:spacing w:after="80"/>
            </w:pPr>
            <w:r>
              <w:t xml:space="preserve">5</w:t>
            </w:r>
          </w:p>
        </w:tc>
      </w:tr>
      <w:tr>
        <w:tc>
          <w:tcPr>
            <w:tcW w:type="dxa" w:w="7360"/>
          </w:tcPr>
          <w:p>
            <w:pPr>
              <w:spacing w:after="80"/>
            </w:pPr>
            <w:r>
              <w:t xml:space="preserve">Section 7 — eight-facet design table for Stages 1–4</w:t>
            </w:r>
          </w:p>
        </w:tc>
        <w:tc>
          <w:tcPr>
            <w:tcW w:type="dxa" w:w="2000"/>
          </w:tcPr>
          <w:p>
            <w:pPr>
              <w:spacing w:after="80"/>
            </w:pPr>
            <w:r>
              <w:t xml:space="preserve">10</w:t>
            </w:r>
          </w:p>
        </w:tc>
      </w:tr>
      <w:tr>
        <w:tc>
          <w:tcPr>
            <w:tcW w:type="dxa" w:w="7360"/>
          </w:tcPr>
          <w:p>
            <w:pPr>
              <w:spacing w:after="80"/>
            </w:pPr>
            <w:r>
              <w:t xml:space="preserve">Section 8 + submission structure correct</w:t>
            </w:r>
          </w:p>
        </w:tc>
        <w:tc>
          <w:tcPr>
            <w:tcW w:type="dxa" w:w="2000"/>
          </w:tcPr>
          <w:p>
            <w:pPr>
              <w:spacing w:after="80"/>
            </w:pPr>
            <w:r>
              <w:t xml:space="preserve">5</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2026-07-04T23:56:32.641Z</dcterms:created>
  <dcterms:modified xsi:type="dcterms:W3CDTF">2026-07-04T23:56:32.641Z</dcterms:modified>
</cp:coreProperties>
</file>

<file path=docProps/custom.xml><?xml version="1.0" encoding="utf-8"?>
<Properties xmlns="http://schemas.openxmlformats.org/officeDocument/2006/custom-properties" xmlns:vt="http://schemas.openxmlformats.org/officeDocument/2006/docPropsVTypes"/>
</file>