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Summary</w:t>
      </w:r>
    </w:p>
    <w:p w:rsidR="00000000" w:rsidDel="00000000" w:rsidP="00000000" w:rsidRDefault="00000000" w:rsidRPr="00000000" w14:paraId="0000000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 : </w:t>
      </w:r>
    </w:p>
    <w:p w:rsidR="00000000" w:rsidDel="00000000" w:rsidP="00000000" w:rsidRDefault="00000000" w:rsidRPr="00000000" w14:paraId="0000000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Storytelling for Social Connectedness: A GRACE Model-Based Approach to Education and Well-being in Later Life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Bercerita untuk Keterhubungan Sosial: Pendekatan Berbasis Model GRACE untuk Pendidikan dan Kesejahteraan di Usia Lanjut</w:t>
      </w:r>
    </w:p>
    <w:p w:rsidR="00000000" w:rsidDel="00000000" w:rsidP="00000000" w:rsidRDefault="00000000" w:rsidRPr="00000000" w14:paraId="0000000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Timeline</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dates : December 2025</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dates : June 2027</w:t>
      </w:r>
    </w:p>
    <w:p w:rsidR="00000000" w:rsidDel="00000000" w:rsidP="00000000" w:rsidRDefault="00000000" w:rsidRPr="00000000" w14:paraId="0000000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Questions (RQ)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RQ1 : What are the key challenges and opportunities of using storytelling as an educational tool for social connectedness and well-being among older adults?</w:t>
      </w:r>
    </w:p>
    <w:p w:rsidR="00000000" w:rsidDel="00000000" w:rsidP="00000000" w:rsidRDefault="00000000" w:rsidRPr="00000000" w14:paraId="0000000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RQ1: Apa saja tantangan dan peluang utama dalam penggunaan mendongeng sebagai alat pendidikan untuk keterhubungan sosial dan kesejahteraan lansia?</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 2: To what extent does digital storytelling enhance engagement, motivation, and learning outcomes for older adults?</w:t>
      </w:r>
    </w:p>
    <w:p w:rsidR="00000000" w:rsidDel="00000000" w:rsidP="00000000" w:rsidRDefault="00000000" w:rsidRPr="00000000" w14:paraId="0000000D">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RQ2: Sejauh mana penceritaan digital meningkatkan keterlibatan, motivasi, dan hasil belajar lansia?</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RQ 3: How can the GRACE Model be applied to design and facilitate effective storytelling interventions for lifelong learning?</w:t>
      </w:r>
    </w:p>
    <w:p w:rsidR="00000000" w:rsidDel="00000000" w:rsidP="00000000" w:rsidRDefault="00000000" w:rsidRPr="00000000" w14:paraId="0000000F">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RQ3: Bagaimana Model GRACE dapat diterapkan untuk merancang dan memfasilitasi intervensi pendongeng yang efektif untuk pembelajaran sepanjang hayat?</w:t>
      </w:r>
    </w:p>
    <w:p w:rsidR="00000000" w:rsidDel="00000000" w:rsidP="00000000" w:rsidRDefault="00000000" w:rsidRPr="00000000" w14:paraId="0000001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proposes a novel intervention, “Storytelling for Social Connectedness,” utilizing the GRACE (Growing Health, Resourceful, Active, and Enriching life) model to address the dual challenges of social isolation and diminished well-being among older adults. Grounded in interdisciplinary research on aging, education, and narrative therapy, the project integrates participatory storytelling workshops into community-based programs to foster intergenerational connections, enhance cognitive engagement, and promote emotional resilience. Employing a mixed-methods approach, the research will assess how structured narrative practices, aligned with GRACE’s pillars, influence participants’ sense of belonging, self-efficacy, and life satisfaction. Data will be gathered through pre-post surveys, focus groups, and ethnographic observations across diverse senior populations, with analysis emphasizing both quantitative well-being metrics and qualitative insights into lived experiences. By bridging educational methodologies with gerontological well-being frameworks, this initiative seeks to advance scalable, culturally responsive strategies for aging populations while contributing empirical evidence to the understudied intersection of storytelling, lifelong learning, and social health. Outcomes aim to inform policy and practice by demonstrating how narrative-centered, community-driven models can mitigate isolation and empower older adults as active contributors to societal ecosystems. The project aligns with the Spencer Foundation’s commitment to innovative, equity-focused research that reimagines educational paradigms across the lifespan.</w:t>
      </w:r>
    </w:p>
    <w:p w:rsidR="00000000" w:rsidDel="00000000" w:rsidP="00000000" w:rsidRDefault="00000000" w:rsidRPr="00000000" w14:paraId="000000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 community-based education, older adults, lifelong learning, social isolation</w:t>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Budget and Budget Justification</w:t>
      </w:r>
    </w:p>
    <w:p w:rsidR="00000000" w:rsidDel="00000000" w:rsidP="00000000" w:rsidRDefault="00000000" w:rsidRPr="00000000" w14:paraId="00000016">
      <w:pPr>
        <w:rPr/>
      </w:pPr>
      <w:r w:rsidDel="00000000" w:rsidR="00000000" w:rsidRPr="00000000">
        <w:rPr>
          <w:rtl w:val="0"/>
        </w:rPr>
      </w:r>
    </w:p>
    <w:sdt>
      <w:sdtPr>
        <w:lock w:val="contentLocked"/>
        <w:id w:val="1006665711"/>
        <w:tag w:val="goog_rdk_0"/>
      </w:sdtPr>
      <w:sdtContent>
        <w:tbl>
          <w:tblPr>
            <w:tblStyle w:val="Table1"/>
            <w:tblW w:w="902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5"/>
            <w:gridCol w:w="1504.3333333333335"/>
            <w:gridCol w:w="1504.3333333333335"/>
            <w:gridCol w:w="1504.3333333333335"/>
            <w:gridCol w:w="1504.3333333333335"/>
            <w:gridCol w:w="1504.3333333333335"/>
            <w:tblGridChange w:id="0">
              <w:tblGrid>
                <w:gridCol w:w="1504.3333333333335"/>
                <w:gridCol w:w="1504.3333333333335"/>
                <w:gridCol w:w="1504.3333333333335"/>
                <w:gridCol w:w="1504.3333333333335"/>
                <w:gridCol w:w="1504.3333333333335"/>
                <w:gridCol w:w="150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Budget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Cost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Cost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Salaries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 (Bu Allya)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Leads the entire research project, ensures alignment with GRACE model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Co-PI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Saya usul Prof Tati dan Prof Armein tidak dimasukkan ke sini, spy tidak merepotkan beliau krn Co-PI harus masuk ke dalam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Graduate Student (Mhs S3) - Tiur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research assistant responsible for daily coordination and data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Researcher (Prof Armein, Prof Tati)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Academic advisors guiding methodology, ethics, and validation processes.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Undergraduate Researcher (Mhs 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fieldwork, transcription, and assists in intergenerational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 Staff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web/mobile development, digital storytelling tools, and content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USD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Pajak honor PPH 21 mau dimasukkan 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Staff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Collabolator</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Consultant (dokter geriatri)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ini perlu ya bu?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Advisor (dokter yang mendampingiuntuk rekomendasi)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ini perlu ya bu? atau cukup 1 dokter saja? atau 2 dokter?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Conference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Dissemination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for Older Adult Workshop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&amp; Software</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digital storytelling documentation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in drive google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making podcast, reel, video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Expenses</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Publication Journal 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 USD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publication in Open Access Internasional Journal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stipends/Cost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t>
                </w:r>
              </w:p>
              <w:p w:rsidR="00000000" w:rsidDel="00000000" w:rsidP="00000000" w:rsidRDefault="00000000" w:rsidRPr="00000000" w14:paraId="000000A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sdtContent>
    </w:sdt>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Salaries</w:t>
      </w:r>
    </w:p>
    <w:p w:rsidR="00000000" w:rsidDel="00000000" w:rsidP="00000000" w:rsidRDefault="00000000" w:rsidRPr="00000000" w14:paraId="000000B1">
      <w:pPr>
        <w:rPr>
          <w:rFonts w:ascii="Times New Roman" w:cs="Times New Roman" w:eastAsia="Times New Roman" w:hAnsi="Times New Roman"/>
        </w:rPr>
      </w:pPr>
      <w:bookmarkStart w:colFirst="0" w:colLast="0" w:name="_heading=h.poclxvldnabr" w:id="0"/>
      <w:bookmarkEnd w:id="0"/>
      <w:r w:rsidDel="00000000" w:rsidR="00000000" w:rsidRPr="00000000">
        <w:rPr>
          <w:rFonts w:ascii="Times New Roman" w:cs="Times New Roman" w:eastAsia="Times New Roman" w:hAnsi="Times New Roman"/>
          <w:rtl w:val="0"/>
        </w:rPr>
        <w:t xml:space="preserve">Salaries (PI, Co-PI, Postdoctoral Research Assistant, Graduate Student, Researcher, Undergraduate Researcher, Other Research Staff, Other Staff, Supplemental PI Course Release, Supplemental Co-PI Course Release)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-konten</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-mhs s1</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server</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acara : prof theng</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 lansia : 45 (cari)</w:t>
      </w:r>
    </w:p>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Gaji (PI, Co-PI, Asisten Riset Pascadoktoral, Mahasiswa Pascasarjana, Peneliti, Peneliti Sarjana, Staf Riset Lainnya, Staf Lainnya, Rilis Mata Kuliah PI Tambahan, Rilis Mata Kuliah Co-PI Tambahan) 30.000</w:t>
      </w:r>
    </w:p>
    <w:p w:rsidR="00000000" w:rsidDel="00000000" w:rsidP="00000000" w:rsidRDefault="00000000" w:rsidRPr="00000000" w14:paraId="000000B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 (PI Benefits, Co-PI Benefits, Researcher Benefits, Other Staff Benefits, Tuition/Fees, Supplemental Course Release Benefits)</w:t>
      </w:r>
    </w:p>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Manfaat (Manfaat PI, Manfaat Co-PI, Manfaat Peneliti, Manfaat Staf Lainnya, Biaya Kuliah/Biaya, Manfaat Rilis Mata Kuliah Tambahan)</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Collaborator</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Collaborator (Independent Consultant, Advisor)</w:t>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Kolaborator Lainnya (Konsultan Independen, Penasihat)</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(Project Travel, Conference or Dissemination Travel)</w:t>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Perjalanan (Perjalanan Proyek, Perjalanan Konferensi atau Diseminasi)</w:t>
      </w:r>
    </w:p>
    <w:p w:rsidR="00000000" w:rsidDel="00000000" w:rsidP="00000000" w:rsidRDefault="00000000" w:rsidRPr="00000000" w14:paraId="000000C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 and Software (Equipment, Software)</w:t>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numPr>
          <w:ilvl w:val="0"/>
          <w:numId w:val="10"/>
        </w:numPr>
        <w:shd w:fill="ffffff" w:val="clear"/>
        <w:spacing w:after="0" w:before="280" w:line="240" w:lineRule="auto"/>
        <w:ind w:left="720" w:hanging="360"/>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Equipment and Software (Equipment, Software)</w:t>
      </w:r>
    </w:p>
    <w:p w:rsidR="00000000" w:rsidDel="00000000" w:rsidP="00000000" w:rsidRDefault="00000000" w:rsidRPr="00000000" w14:paraId="000000C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Peralatan dan Perangkat Lunak (Peralatan, Perangkat Lunak)</w:t>
      </w:r>
    </w:p>
    <w:p w:rsidR="00000000" w:rsidDel="00000000" w:rsidP="00000000" w:rsidRDefault="00000000" w:rsidRPr="00000000" w14:paraId="000000C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Expenses (Supplies, Participant Stipends/Costs, Communication, Transcription)</w:t>
      </w:r>
    </w:p>
    <w:p w:rsidR="00000000" w:rsidDel="00000000" w:rsidP="00000000" w:rsidRDefault="00000000" w:rsidRPr="00000000" w14:paraId="000000C8">
      <w:pPr>
        <w:numPr>
          <w:ilvl w:val="0"/>
          <w:numId w:val="10"/>
        </w:numPr>
        <w:shd w:fill="ffffff" w:val="clear"/>
        <w:spacing w:after="0" w:before="280" w:line="240" w:lineRule="auto"/>
        <w:ind w:left="720" w:hanging="360"/>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Project Expenses (Supplies, Participant Stipends/Costs, Communication, Transcription)</w:t>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Biaya Proyek (Perlengkapan, Tunjangan/Biaya Peserta, Komunikasi, Transkripsi)</w:t>
      </w:r>
    </w:p>
    <w:p w:rsidR="00000000" w:rsidDel="00000000" w:rsidP="00000000" w:rsidRDefault="00000000" w:rsidRPr="00000000" w14:paraId="000000CA">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Other (This should only be used for expenses not covered in the choices above)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529"/>
          <w:sz w:val="21"/>
          <w:szCs w:val="21"/>
          <w:u w:val="none"/>
          <w:shd w:fill="auto" w:val="clear"/>
          <w:vertAlign w:val="baseline"/>
          <w:rtl w:val="0"/>
        </w:rPr>
        <w:t xml:space="preserve">Other (This should only be used for expenses not covered in the choices above)</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Lainnya (Ini hanya boleh digunakan untuk biaya yang tidak tercakup dalam pilihan di atas)</w:t>
      </w:r>
    </w:p>
    <w:p w:rsidR="00000000" w:rsidDel="00000000" w:rsidP="00000000" w:rsidRDefault="00000000" w:rsidRPr="00000000" w14:paraId="000000CD">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Subcontracts (Informtion is pulled from the subcontract budget forms – see below)</w:t>
      </w:r>
      <w:r w:rsidDel="00000000" w:rsidR="00000000" w:rsidRPr="00000000">
        <w:rPr>
          <w:rtl w:val="0"/>
        </w:rPr>
      </w:r>
    </w:p>
    <w:p w:rsidR="00000000" w:rsidDel="00000000" w:rsidP="00000000" w:rsidRDefault="00000000" w:rsidRPr="00000000" w14:paraId="000000CE">
      <w:pPr>
        <w:numPr>
          <w:ilvl w:val="0"/>
          <w:numId w:val="10"/>
        </w:numPr>
        <w:shd w:fill="ffffff" w:val="clear"/>
        <w:spacing w:after="0" w:before="280" w:line="240" w:lineRule="auto"/>
        <w:ind w:left="720" w:hanging="360"/>
        <w:rPr>
          <w:rFonts w:ascii="Times New Roman" w:cs="Times New Roman" w:eastAsia="Times New Roman" w:hAnsi="Times New Roman"/>
          <w:color w:val="212529"/>
          <w:sz w:val="21"/>
          <w:szCs w:val="21"/>
        </w:rPr>
      </w:pPr>
      <w:r w:rsidDel="00000000" w:rsidR="00000000" w:rsidRPr="00000000">
        <w:rPr>
          <w:rFonts w:ascii="Times New Roman" w:cs="Times New Roman" w:eastAsia="Times New Roman" w:hAnsi="Times New Roman"/>
          <w:color w:val="212529"/>
          <w:sz w:val="21"/>
          <w:szCs w:val="21"/>
          <w:rtl w:val="0"/>
        </w:rPr>
        <w:t xml:space="preserve">Subcontracts (Informtion is pulled from the subcontract budget forms – see below)</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Subkontrak (Informasi diambil dari formulir anggaran subkontrak – lihat di bawah)</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Narrative</w:t>
      </w:r>
    </w:p>
    <w:p w:rsidR="00000000" w:rsidDel="00000000" w:rsidP="00000000" w:rsidRDefault="00000000" w:rsidRPr="00000000" w14:paraId="000000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investigates the potential of storytelling—both personal and digital—as an educational intervention to reduce loneliness, foster social connectedness, and promote lifelong learning among older adults. We develop a model called the GRACE Model (Growing Healthy, Resourceful, Active, and Enriching life) that embodies the multidimensional nature of the human lifecycle and aging. The study takes a multi-phase, mixed-methods approach to understand and implement storytelling as a meaningful tool for well-being and intergenerational education.</w:t>
      </w:r>
    </w:p>
    <w:p w:rsidR="00000000" w:rsidDel="00000000" w:rsidP="00000000" w:rsidRDefault="00000000" w:rsidRPr="00000000" w14:paraId="000000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research questions are designed to unfold across three years:</w:t>
      </w:r>
    </w:p>
    <w:p w:rsidR="00000000" w:rsidDel="00000000" w:rsidP="00000000" w:rsidRDefault="00000000" w:rsidRPr="00000000" w14:paraId="000000D4">
      <w:pPr>
        <w:numPr>
          <w:ilvl w:val="0"/>
          <w:numId w:val="8"/>
        </w:numPr>
        <w:spacing w:after="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 1 : </w:t>
      </w:r>
      <w:r w:rsidDel="00000000" w:rsidR="00000000" w:rsidRPr="00000000">
        <w:rPr>
          <w:rFonts w:ascii="Times New Roman" w:cs="Times New Roman" w:eastAsia="Times New Roman" w:hAnsi="Times New Roman"/>
          <w:i w:val="1"/>
          <w:iCs w:val="1"/>
          <w:sz w:val="24"/>
          <w:szCs w:val="24"/>
          <w:rtl w:val="0"/>
        </w:rPr>
        <w:t xml:space="preserve">What are the key challenges and opportunities of using storytelling as an educational tool to reduce loneliness and improve well-being among older adults?</w:t>
        <w:br w:type="textWrapping"/>
      </w:r>
      <w:r w:rsidDel="00000000" w:rsidR="00000000" w:rsidRPr="00000000">
        <w:rPr>
          <w:rtl w:val="0"/>
        </w:rPr>
      </w:r>
    </w:p>
    <w:p w:rsidR="00000000" w:rsidDel="00000000" w:rsidP="00000000" w:rsidRDefault="00000000" w:rsidRPr="00000000" w14:paraId="000000D5">
      <w:pPr>
        <w:numPr>
          <w:ilvl w:val="0"/>
          <w:numId w:val="8"/>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How can the GRACE Model be applied to design and facilitate storytelling interventions that enhance social connectedness and lifelong learning?</w:t>
        <w:br w:type="textWrapping"/>
      </w:r>
      <w:r w:rsidDel="00000000" w:rsidR="00000000" w:rsidRPr="00000000">
        <w:rPr>
          <w:rtl w:val="0"/>
        </w:rPr>
      </w:r>
    </w:p>
    <w:p w:rsidR="00000000" w:rsidDel="00000000" w:rsidP="00000000" w:rsidRDefault="00000000" w:rsidRPr="00000000" w14:paraId="000000D6">
      <w:pPr>
        <w:numPr>
          <w:ilvl w:val="0"/>
          <w:numId w:val="8"/>
        </w:numPr>
        <w:spacing w:after="24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RQ  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To what extent does digital storytelling improve motivation, engagement, and learning outcomes for older adults, particularly in combating social isolation?</w:t>
        <w:br w:type="textWrapping"/>
      </w:r>
      <w:r w:rsidDel="00000000" w:rsidR="00000000" w:rsidRPr="00000000">
        <w:rPr>
          <w:rtl w:val="0"/>
        </w:rPr>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significance of this project lies in its capacity to bridge gaps between generations, empower older adults to share meaningful life experiences, and reframe aging as a stage of active contribution and learning. Findings will contribute to educational research by offering evidence-based, community-driven strategies that support healthy aging, digital inclusion, and narrative-based pedagogy for lifelong learners.</w:t>
      </w:r>
    </w:p>
    <w:p w:rsidR="00000000" w:rsidDel="00000000" w:rsidP="00000000" w:rsidRDefault="00000000" w:rsidRPr="00000000" w14:paraId="000000D8">
      <w:pPr>
        <w:pStyle w:val="Heading2"/>
        <w:rPr>
          <w:rFonts w:ascii="Arial" w:cs="Arial" w:eastAsia="Arial" w:hAnsi="Arial"/>
        </w:rPr>
      </w:pPr>
      <w:bookmarkStart w:colFirst="0" w:colLast="0" w:name="_heading=h.94ce4nmsnkv6" w:id="1"/>
      <w:bookmarkEnd w:id="1"/>
      <w:r w:rsidDel="00000000" w:rsidR="00000000" w:rsidRPr="00000000">
        <w:rPr>
          <w:rFonts w:ascii="Times New Roman" w:cs="Times New Roman" w:eastAsia="Times New Roman" w:hAnsi="Times New Roman"/>
          <w:rtl w:val="0"/>
        </w:rPr>
        <w:t xml:space="preserve">Rationale for the project.</w:t>
      </w:r>
      <w:r w:rsidDel="00000000" w:rsidR="00000000" w:rsidRPr="00000000">
        <w:rPr>
          <w:rFonts w:ascii="Arial" w:cs="Arial" w:eastAsia="Arial" w:hAnsi="Arial"/>
          <w:rtl w:val="0"/>
        </w:rPr>
        <w:t xml:space="preserve"> </w:t>
      </w:r>
    </w:p>
    <w:p w:rsidR="00000000" w:rsidDel="00000000" w:rsidP="00000000" w:rsidRDefault="00000000" w:rsidRPr="00000000" w14:paraId="000000D9">
      <w:pPr>
        <w:pStyle w:val="Heading3"/>
        <w:numPr>
          <w:ilvl w:val="0"/>
          <w:numId w:val="9"/>
        </w:numPr>
        <w:ind w:left="360" w:hanging="360"/>
        <w:rPr>
          <w:u w:val="none"/>
        </w:rPr>
      </w:pPr>
      <w:bookmarkStart w:colFirst="0" w:colLast="0" w:name="_heading=h.2jlaxyi852de" w:id="2"/>
      <w:bookmarkEnd w:id="2"/>
      <w:r w:rsidDel="00000000" w:rsidR="00000000" w:rsidRPr="00000000">
        <w:rPr>
          <w:rtl w:val="0"/>
        </w:rPr>
        <w:t xml:space="preserve">Summary of the relevant literature</w:t>
      </w:r>
      <w:r w:rsidDel="00000000" w:rsidR="00000000" w:rsidRPr="00000000">
        <w:rPr>
          <w:rtl w:val="0"/>
        </w:rPr>
      </w:r>
    </w:p>
    <w:p w:rsidR="00000000" w:rsidDel="00000000" w:rsidP="00000000" w:rsidRDefault="00000000" w:rsidRPr="00000000" w14:paraId="000000DA">
      <w:pPr>
        <w:pStyle w:val="Heading3"/>
        <w:keepNext w:val="0"/>
        <w:keepLines w:val="0"/>
        <w:jc w:val="both"/>
        <w:rPr>
          <w:sz w:val="26"/>
          <w:szCs w:val="26"/>
        </w:rPr>
      </w:pPr>
      <w:bookmarkStart w:colFirst="0" w:colLast="0" w:name="_heading=h.nhp8s5atb4q1" w:id="3"/>
      <w:bookmarkEnd w:id="3"/>
      <w:r w:rsidDel="00000000" w:rsidR="00000000" w:rsidRPr="00000000">
        <w:rPr>
          <w:sz w:val="26"/>
          <w:szCs w:val="26"/>
          <w:rtl w:val="0"/>
        </w:rPr>
        <w:t xml:space="preserve">1. Multiple Dimensions in Aging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keepNext w:val="0"/>
        <w:keepLines w:val="0"/>
        <w:jc w:val="both"/>
        <w:rPr>
          <w:sz w:val="26"/>
          <w:szCs w:val="26"/>
        </w:rPr>
      </w:pPr>
      <w:bookmarkStart w:colFirst="0" w:colLast="0" w:name="_heading=h.y45lyqluproi" w:id="4"/>
      <w:bookmarkEnd w:id="4"/>
      <w:r w:rsidDel="00000000" w:rsidR="00000000" w:rsidRPr="00000000">
        <w:rPr>
          <w:sz w:val="26"/>
          <w:szCs w:val="26"/>
          <w:rtl w:val="0"/>
        </w:rPr>
        <w:t xml:space="preserve">Loneliness and Social Isolation in Later Life</w:t>
      </w:r>
    </w:p>
    <w:p w:rsidR="00000000" w:rsidDel="00000000" w:rsidP="00000000" w:rsidRDefault="00000000" w:rsidRPr="00000000" w14:paraId="000000DD">
      <w:pPr>
        <w:spacing w:after="24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Loneliness and social isolation are major public health concerns among older adults, particularly those in long-term care facilities, and are linked to adverse outcomes such as depression, cognitive decline, and increased mortality (Cacioppo, T &amp; Patrick, 2008 ; Barnes et al., 2021). Contributing factors include retirement, bereavement, deteriorating health, and reduced social networks, with specific risks such as cognitive impairment, vision loss, and incontinence further increasing vulnerability (Kotwal et al., 2020). Around 51% of older adults experience loneliness, and 9% face social isolation in their final years. The COVID-19 pandemic has worsened these issues, especially in institutional settings (Simard &amp; Volicer, 2020). Addressing this requires innovative educational and social interventions aimed at restoring connection and purpose. Healthcare providers play a critical role in identifying at-risk individuals and implementing strategies such as facilitating phone calls with family or volunteers, organizing window visits, encouraging letter writing, and offering access to religious services via technology (Galambos et al., 2020  ; Simard &amp; Volicer, 2020). These efforts are essential to reduce the negative health impacts of loneliness and social isolation among older adults.</w:t>
      </w:r>
      <w:r w:rsidDel="00000000" w:rsidR="00000000" w:rsidRPr="00000000">
        <w:rPr>
          <w:rtl w:val="0"/>
        </w:rPr>
      </w:r>
    </w:p>
    <w:p w:rsidR="00000000" w:rsidDel="00000000" w:rsidP="00000000" w:rsidRDefault="00000000" w:rsidRPr="00000000" w14:paraId="000000DE">
      <w:pPr>
        <w:pStyle w:val="Heading3"/>
        <w:keepNext w:val="0"/>
        <w:keepLines w:val="0"/>
        <w:jc w:val="both"/>
        <w:rPr>
          <w:sz w:val="26"/>
          <w:szCs w:val="26"/>
        </w:rPr>
      </w:pPr>
      <w:bookmarkStart w:colFirst="0" w:colLast="0" w:name="_heading=h.u8tvn1ax1ip2" w:id="5"/>
      <w:bookmarkEnd w:id="5"/>
      <w:r w:rsidDel="00000000" w:rsidR="00000000" w:rsidRPr="00000000">
        <w:rPr>
          <w:sz w:val="26"/>
          <w:szCs w:val="26"/>
          <w:rtl w:val="0"/>
        </w:rPr>
        <w:t xml:space="preserve">2. The Role of Education and Lifelong Learning in Aging</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Lifelong learning plays a crucial role in promoting successful aging, cognitive health, and psychological well-being among older adults. It has been shown to improve mental functioning, foster social inclusion, and enhance overall quality of life (Findsen &amp; Formosa, 2011) (Patskanick et al., 2021)  (Law et al., 2023). Educational programs designed specifically for the aging population help reduce social isolation and offer meaningful opportunities for engagement and connection (Findsen &amp; Formosa, 2011).</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adults engage in both formal and informal learning, participating in lifelong learning programs as well as self-directed methods such as reading, attending lectures, and engaging in conversations. These activities not only stimulate cognitive function but also contribute to a sense of purpose and ongoing personal development. However, despite its benefits, several challenges limit older adults' participation in education. These include physical and cognitive barriers such as sensory impairments, low energy levels, and difficulties with memory recall (Patskanick et al., 2021). In addition, issues like access, motivation, and the perceived value of education remain persistent obstacles (Findsen &amp; Formosa, 2011).</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effectively support education in later life, policy reforms are needed. These include improving coordination among stakeholders, ensuring inclusivity, and addressing financial and institutional barriers such as age-based eligibility restrictions (Mutalib et al., 2023) (Law et al., 2023). Both formal and informal learning opportunities should be promoted equally to meet the diverse needs and interests of older learners (Law et al., 2023).</w:t>
      </w:r>
    </w:p>
    <w:p w:rsidR="00000000" w:rsidDel="00000000" w:rsidP="00000000" w:rsidRDefault="00000000" w:rsidRPr="00000000" w14:paraId="000000E2">
      <w:pPr>
        <w:pStyle w:val="Heading3"/>
        <w:keepNext w:val="0"/>
        <w:keepLines w:val="0"/>
        <w:jc w:val="both"/>
        <w:rPr>
          <w:sz w:val="26"/>
          <w:szCs w:val="26"/>
        </w:rPr>
      </w:pPr>
      <w:bookmarkStart w:colFirst="0" w:colLast="0" w:name="_heading=h.byo3zbsbyrr" w:id="6"/>
      <w:bookmarkEnd w:id="6"/>
      <w:r w:rsidDel="00000000" w:rsidR="00000000" w:rsidRPr="00000000">
        <w:rPr>
          <w:sz w:val="26"/>
          <w:szCs w:val="26"/>
          <w:rtl w:val="0"/>
        </w:rPr>
        <w:t xml:space="preserve">3. Heutagogy and Self-Determined Learning in Later Life</w:t>
      </w:r>
    </w:p>
    <w:p w:rsidR="00000000" w:rsidDel="00000000" w:rsidP="00000000" w:rsidRDefault="00000000" w:rsidRPr="00000000" w14:paraId="000000E3">
      <w:pPr>
        <w:spacing w:after="240" w:before="240" w:lineRule="auto"/>
        <w:jc w:val="both"/>
        <w:rPr>
          <w:sz w:val="24"/>
          <w:szCs w:val="24"/>
        </w:rPr>
      </w:pPr>
      <w:r w:rsidDel="00000000" w:rsidR="00000000" w:rsidRPr="00000000">
        <w:rPr>
          <w:rFonts w:ascii="Times New Roman" w:cs="Times New Roman" w:eastAsia="Times New Roman" w:hAnsi="Times New Roman"/>
          <w:sz w:val="24"/>
          <w:szCs w:val="24"/>
          <w:rtl w:val="0"/>
        </w:rPr>
        <w:t xml:space="preserve">Heutagogy, or self-determined learning, emphasizes learner agency, autonomy, and reflective practice, making it especially relevant for older adults engaged in lifelong learning  (Hase &amp; Kenyon, 2000) (Blaschke, Marie, 2012) (Gillaspy &amp; Vasilica, 2021). This approach allows individuals to design their own learning paths based on personal goals and lived experiences. Storytelling, particularly when supported by digital tools, aligns well with hauntological principles by fostering personal growth and empowerment (Blaschke, Marie, 2012). Heutagogy is also applicable in various contexts including midwifery education (Hainsworth et al., 2022), spiritual development (Hukkinen et al., 2023), and higher education through ICT-based, real-world assessments (Lynch et al., 2021). Its effectiveness, however, depends on thoughtful implementation and commitment to learner-centered values (Gillaspy &amp; Vasilica, 2021). Heutagogy, or self-determined learning, is emerging as a valuable approach in various educational contexts. It has shown potential in developing digital self-determined learners in nursing education, fostering key principles like learner agency and metacognition (Gillaspy &amp; Vasilica, 2021). In spiritual growth, heutagogy combined with coaching strategies may enhance self-directed learning (Hukkinen et al., 2023). For midwifery education, particularly in continuity of care experiences, heutagogy aligns well with woman-centered care philosophy, empowering students to participate in their own education (Hainsworth et al., 2022). In higher education, heutagogy provides a framework for assessing Information Communication Technology (ICT) assignments directed at authentic audiences, where learning goals are self-determined (Lynch et al., 2021). These studies suggest that heutagogy offers a flexible, learner-centered approach that can be applied across diverse fields, promoting self-reflection, capability, and non-linear learning experiences.</w:t>
      </w:r>
      <w:r w:rsidDel="00000000" w:rsidR="00000000" w:rsidRPr="00000000">
        <w:rPr>
          <w:rtl w:val="0"/>
        </w:rPr>
      </w:r>
    </w:p>
    <w:p w:rsidR="00000000" w:rsidDel="00000000" w:rsidP="00000000" w:rsidRDefault="00000000" w:rsidRPr="00000000" w14:paraId="000000E4">
      <w:pPr>
        <w:pStyle w:val="Heading3"/>
        <w:keepNext w:val="0"/>
        <w:keepLines w:val="0"/>
        <w:jc w:val="both"/>
        <w:rPr>
          <w:sz w:val="26"/>
          <w:szCs w:val="26"/>
        </w:rPr>
      </w:pPr>
      <w:bookmarkStart w:colFirst="0" w:colLast="0" w:name="_heading=h.bmqcerxikv3w" w:id="7"/>
      <w:bookmarkEnd w:id="7"/>
      <w:r w:rsidDel="00000000" w:rsidR="00000000" w:rsidRPr="00000000">
        <w:rPr>
          <w:sz w:val="26"/>
          <w:szCs w:val="26"/>
          <w:rtl w:val="0"/>
        </w:rPr>
        <w:t xml:space="preserve">4. Storytelling as an Educational and Therapeutic Tool</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Storytelling is widely recognized as a meaningful medium for identity formation, emotional expression, and intergenerational connection. Within aging populations, it plays a dual role—educational and therapeutic—by enhancing memory, fostering self-worth, and supporting the preservation of cultural knowledge (McLean, 2008) (McAdams &amp; McLean, 2013). As older adults engage in sharing their life narratives, they not only construct personal meaning but also build psychological resilience and contribute to communal memory.</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scholarship has further emphasized storytelling’s multifaceted benefits across diverse health and therapeutic contexts. It functions as a platform for spiritual dialogue and narrative-based therapy, facilitating reflective and healing encounters (Juma, 2022). In cases of acquired brain injury, narrative storytelling serves both as a therapeutic practice and an advocacy tool, promoting emotional release and the reconstruction of a positive identity (D’Cruz et al., 2020). Digital storytelling has also emerged as a promising approach, particularly for individuals with mild cognitive impairment or dementia. While the current evidence base is still developing, existing findings suggest that digital storytelling supports memory retention, reminiscence, identity affirmation, and confidence (Rios Rincon et al., 2022). Furthermore, biographical storytelling is increasingly employed as a qualitative research method to examine emotional experiences in later life, offering a holistic understanding of wellbeing in old age (Fang et al., 2023).</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Collectively, these studies demonstrate the versatility of storytelling as a person-centered, adaptive tool that addresses the complex cognitive, emotional, and social needs of older adults. Its integration into educational and therapeutic settings holds significant promise for improving quality of life and supporting aging with dignity and agency.</w:t>
      </w:r>
    </w:p>
    <w:p w:rsidR="00000000" w:rsidDel="00000000" w:rsidP="00000000" w:rsidRDefault="00000000" w:rsidRPr="00000000" w14:paraId="000000E8">
      <w:pPr>
        <w:pStyle w:val="Heading3"/>
        <w:keepNext w:val="0"/>
        <w:keepLines w:val="0"/>
        <w:jc w:val="both"/>
        <w:rPr>
          <w:sz w:val="26"/>
          <w:szCs w:val="26"/>
        </w:rPr>
      </w:pPr>
      <w:bookmarkStart w:colFirst="0" w:colLast="0" w:name="_heading=h.ijk8dwlnmjhv" w:id="8"/>
      <w:bookmarkEnd w:id="8"/>
      <w:r w:rsidDel="00000000" w:rsidR="00000000" w:rsidRPr="00000000">
        <w:rPr>
          <w:sz w:val="26"/>
          <w:szCs w:val="26"/>
          <w:rtl w:val="0"/>
        </w:rPr>
        <w:t xml:space="preserve">5. Digital Storytelling and Technology Use among Older Adults</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storytelling, which combines narrative with multimedia technology, has emerged as a valuable tool for supporting the well-being and digital engagement of older adults. Research indicates that digital storytelling not only fosters creativity and self-expression but also enhances digital literacy, encourages social interaction, and helps reduce feelings of loneliness (Robin, 2008). These benefits are particularly relevant for older adults facing age-related challenges, such as cognitive decline or social isolation.</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highlighted the potential of digital storytelling to improve mood, memory, social engagement, and relationship quality among older adults, including those with mild cognitive impairment or dementia (Rios Rincon et al., 2022) (Stargatt et al., 2022). It has been implemented in various settings, including community programs, health research, and intergenerational initiatives that connect older adults with younger generations (Lavery, 2022). Despite these promising outcomes, the overall strength of the evidence remains limited, and further research is needed to validate its effectiveness (Rios Rincon et al., 2022).</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older adults increasingly engage with digital tools, understanding the factors that influence their adoption of technology becomes essential. The Technology Acceptance Model (TAM) provides a useful framework for this purpose, identifying perceived usefulness and ease of use as key predictors of older adults’ intention to use digital technologies (Martín-García et al., 2022). Nonetheless, to ensure the inclusivity and accessibility of digital storytelling initiatives, ongoing efforts are needed to address technological barriers that may hinder participation (Robin, 2008).</w:t>
      </w:r>
    </w:p>
    <w:p w:rsidR="00000000" w:rsidDel="00000000" w:rsidP="00000000" w:rsidRDefault="00000000" w:rsidRPr="00000000" w14:paraId="000000EC">
      <w:pPr>
        <w:pStyle w:val="Heading3"/>
        <w:keepNext w:val="0"/>
        <w:keepLines w:val="0"/>
        <w:jc w:val="both"/>
        <w:rPr>
          <w:sz w:val="26"/>
          <w:szCs w:val="26"/>
        </w:rPr>
      </w:pPr>
      <w:bookmarkStart w:colFirst="0" w:colLast="0" w:name="_heading=h.yfo71utdkz8r" w:id="9"/>
      <w:bookmarkEnd w:id="9"/>
      <w:r w:rsidDel="00000000" w:rsidR="00000000" w:rsidRPr="00000000">
        <w:rPr>
          <w:sz w:val="26"/>
          <w:szCs w:val="26"/>
          <w:rtl w:val="0"/>
        </w:rPr>
        <w:t xml:space="preserve">6. The GRACE Model: A Holistic Framework for Later Life Well-being</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GRACE model</w:t>
      </w:r>
      <w:r w:rsidDel="00000000" w:rsidR="00000000" w:rsidRPr="00000000">
        <w:rPr>
          <w:rFonts w:ascii="Times New Roman" w:cs="Times New Roman" w:eastAsia="Times New Roman" w:hAnsi="Times New Roman"/>
          <w:sz w:val="24"/>
          <w:szCs w:val="24"/>
          <w:rtl w:val="0"/>
        </w:rPr>
        <w:t xml:space="preserve">, which stands for </w:t>
      </w:r>
      <w:r w:rsidDel="00000000" w:rsidR="00000000" w:rsidRPr="00000000">
        <w:rPr>
          <w:rFonts w:ascii="Times New Roman" w:cs="Times New Roman" w:eastAsia="Times New Roman" w:hAnsi="Times New Roman"/>
          <w:b w:val="1"/>
          <w:bCs w:val="1"/>
          <w:sz w:val="24"/>
          <w:szCs w:val="24"/>
          <w:rtl w:val="0"/>
        </w:rPr>
        <w:t xml:space="preserve">Growing Healthy, Resourceful, Active, and Enriching life</w:t>
      </w:r>
      <w:r w:rsidDel="00000000" w:rsidR="00000000" w:rsidRPr="00000000">
        <w:rPr>
          <w:rFonts w:ascii="Times New Roman" w:cs="Times New Roman" w:eastAsia="Times New Roman" w:hAnsi="Times New Roman"/>
          <w:sz w:val="24"/>
          <w:szCs w:val="24"/>
          <w:rtl w:val="0"/>
        </w:rPr>
        <w:t xml:space="preserve">, is a holistic framework that is being developed and implemented to enhance the quality of life among older adults. This model is rooted in the belief that aging should not be solely associated with decline but instead seen as a phase rich with potential for continued growth, contribution, and fulfillment. GRACE emphasizes four key dimensions (Gantini et al., 2024):</w:t>
      </w:r>
    </w:p>
    <w:p w:rsidR="00000000" w:rsidDel="00000000" w:rsidP="00000000" w:rsidRDefault="00000000" w:rsidRPr="00000000" w14:paraId="000000EE">
      <w:pPr>
        <w:numPr>
          <w:ilvl w:val="0"/>
          <w:numId w:val="1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Healthy</w:t>
      </w:r>
      <w:r w:rsidDel="00000000" w:rsidR="00000000" w:rsidRPr="00000000">
        <w:rPr>
          <w:rFonts w:ascii="Times New Roman" w:cs="Times New Roman" w:eastAsia="Times New Roman" w:hAnsi="Times New Roman"/>
          <w:sz w:val="24"/>
          <w:szCs w:val="24"/>
          <w:rtl w:val="0"/>
        </w:rPr>
        <w:t xml:space="preserve"> – supporting physical and mental well-being through preventive care, healthy habits, and access to health services (Gantini et al., 2024) (WHO, 2020).</w:t>
      </w:r>
    </w:p>
    <w:p w:rsidR="00000000" w:rsidDel="00000000" w:rsidP="00000000" w:rsidRDefault="00000000" w:rsidRPr="00000000" w14:paraId="000000EF">
      <w:pPr>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Resourceful</w:t>
      </w:r>
      <w:r w:rsidDel="00000000" w:rsidR="00000000" w:rsidRPr="00000000">
        <w:rPr>
          <w:rFonts w:ascii="Times New Roman" w:cs="Times New Roman" w:eastAsia="Times New Roman" w:hAnsi="Times New Roman"/>
          <w:sz w:val="24"/>
          <w:szCs w:val="24"/>
          <w:rtl w:val="0"/>
        </w:rPr>
        <w:t xml:space="preserve"> – enabling older adults to manage challenges through adaptability, problem-solving, and access to relevant information and services (UNECE, 2018).</w:t>
      </w:r>
    </w:p>
    <w:p w:rsidR="00000000" w:rsidDel="00000000" w:rsidP="00000000" w:rsidRDefault="00000000" w:rsidRPr="00000000" w14:paraId="000000F0">
      <w:pPr>
        <w:numPr>
          <w:ilvl w:val="0"/>
          <w:numId w:val="1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 promoting participation in community, recreational, and lifelong learning activities to maintain a sense of purpose and engagement (UNECE, 2018) (WHO, 2020).</w:t>
      </w:r>
    </w:p>
    <w:p w:rsidR="00000000" w:rsidDel="00000000" w:rsidP="00000000" w:rsidRDefault="00000000" w:rsidRPr="00000000" w14:paraId="000000F1">
      <w:pPr>
        <w:numPr>
          <w:ilvl w:val="0"/>
          <w:numId w:val="1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Enriching</w:t>
      </w:r>
      <w:r w:rsidDel="00000000" w:rsidR="00000000" w:rsidRPr="00000000">
        <w:rPr>
          <w:rFonts w:ascii="Times New Roman" w:cs="Times New Roman" w:eastAsia="Times New Roman" w:hAnsi="Times New Roman"/>
          <w:sz w:val="24"/>
          <w:szCs w:val="24"/>
          <w:rtl w:val="0"/>
        </w:rPr>
        <w:t xml:space="preserve"> – fostering meaningful relationships, self-expression, spiritual development, and contributions to family or society (Badan Pusat Statistik, 2017) (BPS, 2021).</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operationalize this model, the </w:t>
      </w:r>
      <w:r w:rsidDel="00000000" w:rsidR="00000000" w:rsidRPr="00000000">
        <w:rPr>
          <w:rFonts w:ascii="Times New Roman" w:cs="Times New Roman" w:eastAsia="Times New Roman" w:hAnsi="Times New Roman"/>
          <w:b w:val="1"/>
          <w:bCs w:val="1"/>
          <w:sz w:val="24"/>
          <w:szCs w:val="24"/>
          <w:rtl w:val="0"/>
        </w:rPr>
        <w:t xml:space="preserve">GRACE Index</w:t>
      </w:r>
      <w:r w:rsidDel="00000000" w:rsidR="00000000" w:rsidRPr="00000000">
        <w:rPr>
          <w:rFonts w:ascii="Times New Roman" w:cs="Times New Roman" w:eastAsia="Times New Roman" w:hAnsi="Times New Roman"/>
          <w:sz w:val="24"/>
          <w:szCs w:val="24"/>
          <w:rtl w:val="0"/>
        </w:rPr>
        <w:t xml:space="preserve"> was developed as a multidimensional assessment tool. It quantifies an individual’s status across the four GRACE dimensions using indicators derived from validated measures in health, psychology, social participation, and education. The index not only provides a snapshot of well-being but also guides personalized interventions and policy design.</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GRACE model is distinct in its </w:t>
      </w:r>
      <w:r w:rsidDel="00000000" w:rsidR="00000000" w:rsidRPr="00000000">
        <w:rPr>
          <w:rFonts w:ascii="Times New Roman" w:cs="Times New Roman" w:eastAsia="Times New Roman" w:hAnsi="Times New Roman"/>
          <w:b w:val="1"/>
          <w:bCs w:val="1"/>
          <w:sz w:val="24"/>
          <w:szCs w:val="24"/>
          <w:rtl w:val="0"/>
        </w:rPr>
        <w:t xml:space="preserve">integration of well-being, motivation, and community-based learning</w:t>
      </w:r>
      <w:r w:rsidDel="00000000" w:rsidR="00000000" w:rsidRPr="00000000">
        <w:rPr>
          <w:rFonts w:ascii="Times New Roman" w:cs="Times New Roman" w:eastAsia="Times New Roman" w:hAnsi="Times New Roman"/>
          <w:sz w:val="24"/>
          <w:szCs w:val="24"/>
          <w:rtl w:val="0"/>
        </w:rPr>
        <w:t xml:space="preserve">, making it highly relevant for programs aiming to empower older adults through </w:t>
      </w:r>
      <w:r w:rsidDel="00000000" w:rsidR="00000000" w:rsidRPr="00000000">
        <w:rPr>
          <w:rFonts w:ascii="Times New Roman" w:cs="Times New Roman" w:eastAsia="Times New Roman" w:hAnsi="Times New Roman"/>
          <w:b w:val="1"/>
          <w:bCs w:val="1"/>
          <w:sz w:val="24"/>
          <w:szCs w:val="24"/>
          <w:rtl w:val="0"/>
        </w:rPr>
        <w:t xml:space="preserve">lifelong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digital inclusion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intergenerational engagement</w:t>
      </w:r>
      <w:r w:rsidDel="00000000" w:rsidR="00000000" w:rsidRPr="00000000">
        <w:rPr>
          <w:rFonts w:ascii="Times New Roman" w:cs="Times New Roman" w:eastAsia="Times New Roman" w:hAnsi="Times New Roman"/>
          <w:sz w:val="24"/>
          <w:szCs w:val="24"/>
          <w:rtl w:val="0"/>
        </w:rPr>
        <w:t xml:space="preserve">. It has been proposed as a foundation for community computing systems that tailor resources and interventions based on older adults' evolving needs and aspirations.</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no prior literature specifically outlines this exact model, it aligns conceptually with existing frameworks such as the </w:t>
      </w:r>
      <w:r w:rsidDel="00000000" w:rsidR="00000000" w:rsidRPr="00000000">
        <w:rPr>
          <w:rFonts w:ascii="Times New Roman" w:cs="Times New Roman" w:eastAsia="Times New Roman" w:hAnsi="Times New Roman"/>
          <w:b w:val="1"/>
          <w:bCs w:val="1"/>
          <w:sz w:val="24"/>
          <w:szCs w:val="24"/>
          <w:rtl w:val="0"/>
        </w:rPr>
        <w:t xml:space="preserve">WHO Healthy Ageing framework </w:t>
      </w:r>
      <w:r w:rsidDel="00000000" w:rsidR="00000000" w:rsidRPr="00000000">
        <w:rPr>
          <w:rFonts w:ascii="Times New Roman" w:cs="Times New Roman" w:eastAsia="Times New Roman" w:hAnsi="Times New Roman"/>
          <w:sz w:val="24"/>
          <w:szCs w:val="24"/>
          <w:rtl w:val="0"/>
        </w:rPr>
        <w:t xml:space="preserve">(WHO, 2020), the </w:t>
      </w:r>
      <w:r w:rsidDel="00000000" w:rsidR="00000000" w:rsidRPr="00000000">
        <w:rPr>
          <w:rFonts w:ascii="Times New Roman" w:cs="Times New Roman" w:eastAsia="Times New Roman" w:hAnsi="Times New Roman"/>
          <w:b w:val="1"/>
          <w:bCs w:val="1"/>
          <w:sz w:val="24"/>
          <w:szCs w:val="24"/>
          <w:rtl w:val="0"/>
        </w:rPr>
        <w:t xml:space="preserve">Active Ageing Index </w:t>
      </w:r>
      <w:r w:rsidDel="00000000" w:rsidR="00000000" w:rsidRPr="00000000">
        <w:rPr>
          <w:rFonts w:ascii="Times New Roman" w:cs="Times New Roman" w:eastAsia="Times New Roman" w:hAnsi="Times New Roman"/>
          <w:sz w:val="24"/>
          <w:szCs w:val="24"/>
          <w:rtl w:val="0"/>
        </w:rPr>
        <w:t xml:space="preserve">(UNECE, 2018), and theories of well-being or happiness from Badan Pusat Statistik (Badan Pusat Statistik, 2017) (BPS, 2021). The GRACE model offers a novel, contextualized approach tailored for </w:t>
      </w:r>
      <w:r w:rsidDel="00000000" w:rsidR="00000000" w:rsidRPr="00000000">
        <w:rPr>
          <w:rFonts w:ascii="Times New Roman" w:cs="Times New Roman" w:eastAsia="Times New Roman" w:hAnsi="Times New Roman"/>
          <w:b w:val="1"/>
          <w:bCs w:val="1"/>
          <w:sz w:val="24"/>
          <w:szCs w:val="24"/>
          <w:rtl w:val="0"/>
        </w:rPr>
        <w:t xml:space="preserve">Indonesian older adults</w:t>
      </w:r>
      <w:r w:rsidDel="00000000" w:rsidR="00000000" w:rsidRPr="00000000">
        <w:rPr>
          <w:rFonts w:ascii="Times New Roman" w:cs="Times New Roman" w:eastAsia="Times New Roman" w:hAnsi="Times New Roman"/>
          <w:sz w:val="24"/>
          <w:szCs w:val="24"/>
          <w:rtl w:val="0"/>
        </w:rPr>
        <w:t xml:space="preserve">, yet adaptable to global contexts.</w:t>
      </w:r>
    </w:p>
    <w:p w:rsidR="00000000" w:rsidDel="00000000" w:rsidP="00000000" w:rsidRDefault="00000000" w:rsidRPr="00000000" w14:paraId="000000F5">
      <w:pPr>
        <w:pStyle w:val="Heading3"/>
        <w:keepNext w:val="0"/>
        <w:keepLines w:val="0"/>
        <w:jc w:val="both"/>
        <w:rPr>
          <w:sz w:val="26"/>
          <w:szCs w:val="26"/>
        </w:rPr>
      </w:pPr>
      <w:bookmarkStart w:colFirst="0" w:colLast="0" w:name="_heading=h.smiawm31hh3o" w:id="10"/>
      <w:bookmarkEnd w:id="10"/>
      <w:r w:rsidDel="00000000" w:rsidR="00000000" w:rsidRPr="00000000">
        <w:rPr>
          <w:sz w:val="26"/>
          <w:szCs w:val="26"/>
          <w:rtl w:val="0"/>
        </w:rPr>
        <w:t xml:space="preserve">7. Intergenerational Learning and Social Connectedness</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Intergenerational learning programs have emerged as impactful approaches to bridge generational divides, strengthen social ties, and foster inclusive communities. These programs promote mutual understanding between younger and older participants by facilitating meaningful exchanges of knowledge and experiences. Storytelling, in particular, has been shown to enhance empathy, reduce age-based stereotypes, and create stronger community bonds (Kaplan, 2002).</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consistently highlights the dual benefits of such initiatives. Older adults often experience improved mental health, reduced feelings of loneliness, and a renewed sense of purpose, while younger participants gain perspective, empathy, and critical social insights (Simionato et al., 2023) (Aguilera-Hermida et al., 2020). The effectiveness of these programs is enhanced through structured facilitation, shared goals, and engaging formats that encourage interaction and reflection (Simionato et al., 2023).</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tools also play a role in expanding intergenerational connections. Tablet-based augmented reality (AR) systems, for example, have supported remote interactions through shared activities like reading, emphasizing the importance of engaging, context-aware experiences (Yuan et al., 2024). Pedagogical innovations, including classroom dialogues, virtual collaborations, and study abroad opportunities, have demonstrated potential in promoting age inclusivity and intergenerational learning within educational settings (Hollis-Sawyer &amp; Donorfio, 2023).</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intergenerational learning fosters social connectedness by breaking down generational barriers, promoting collaborative learning, and supporting lifelong engagement across age groups. These programs are not only educationally enriching but also socially transformative, contributing to healthier, more cohesive societies.</w:t>
      </w:r>
    </w:p>
    <w:p w:rsidR="00000000" w:rsidDel="00000000" w:rsidP="00000000" w:rsidRDefault="00000000" w:rsidRPr="00000000" w14:paraId="000000FA">
      <w:pPr>
        <w:spacing w:after="240" w:before="240" w:lineRule="auto"/>
        <w:jc w:val="both"/>
        <w:rPr/>
      </w:pPr>
      <w:r w:rsidDel="00000000" w:rsidR="00000000" w:rsidRPr="00000000">
        <w:rPr>
          <w:rtl w:val="0"/>
        </w:rPr>
      </w:r>
    </w:p>
    <w:p w:rsidR="00000000" w:rsidDel="00000000" w:rsidP="00000000" w:rsidRDefault="00000000" w:rsidRPr="00000000" w14:paraId="000000FB">
      <w:pPr>
        <w:pStyle w:val="Heading3"/>
        <w:keepNext w:val="0"/>
        <w:keepLines w:val="0"/>
        <w:jc w:val="both"/>
        <w:rPr>
          <w:sz w:val="26"/>
          <w:szCs w:val="26"/>
        </w:rPr>
      </w:pPr>
      <w:bookmarkStart w:colFirst="0" w:colLast="0" w:name="_heading=h.xxbse471xz0" w:id="11"/>
      <w:bookmarkEnd w:id="11"/>
      <w:r w:rsidDel="00000000" w:rsidR="00000000" w:rsidRPr="00000000">
        <w:rPr>
          <w:sz w:val="26"/>
          <w:szCs w:val="26"/>
          <w:rtl w:val="0"/>
        </w:rPr>
        <w:t xml:space="preserve">8. Gaps in the Literature and Research Significance</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growing interest in storytelling, limited research explores its integration with the GRACE model in educational contexts for older adults. Few studies combine digital tools, heutagogy, and intergenerational approaches to promote social connectedness and lifelong learning. This study addresses these gaps by designing and evaluating a GRACE-based storytelling intervention for older adults.</w:t>
      </w:r>
    </w:p>
    <w:p w:rsidR="00000000" w:rsidDel="00000000" w:rsidP="00000000" w:rsidRDefault="00000000" w:rsidRPr="00000000" w14:paraId="000000FD">
      <w:pPr>
        <w:pStyle w:val="Heading3"/>
        <w:numPr>
          <w:ilvl w:val="0"/>
          <w:numId w:val="9"/>
        </w:numPr>
        <w:ind w:left="360" w:hanging="360"/>
        <w:rPr>
          <w:u w:val="none"/>
        </w:rPr>
      </w:pPr>
      <w:bookmarkStart w:colFirst="0" w:colLast="0" w:name="_heading=h.7f8f0n63gd9b" w:id="12"/>
      <w:bookmarkEnd w:id="12"/>
      <w:r w:rsidDel="00000000" w:rsidR="00000000" w:rsidRPr="00000000">
        <w:rPr>
          <w:rtl w:val="0"/>
        </w:rPr>
        <w:t xml:space="preserve">Summary of the conceptual framework</w:t>
      </w: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grounded in a multidimensional conceptual framework that integrates key themes from aging, education, and digital engagement to address loneliness and promote well-being among older adults. At its core, the framework positions storytelling—particularly digital storytelling—as both an educational and therapeutic tool that enhances self-expression, memory, and social connection.</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draws from three main conceptual pillars:</w:t>
      </w:r>
    </w:p>
    <w:p w:rsidR="00000000" w:rsidDel="00000000" w:rsidP="00000000" w:rsidRDefault="00000000" w:rsidRPr="00000000" w14:paraId="00000100">
      <w:pPr>
        <w:numPr>
          <w:ilvl w:val="0"/>
          <w:numId w:val="1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Lifelong learning</w:t>
      </w:r>
      <w:r w:rsidDel="00000000" w:rsidR="00000000" w:rsidRPr="00000000">
        <w:rPr>
          <w:rFonts w:ascii="Times New Roman" w:cs="Times New Roman" w:eastAsia="Times New Roman" w:hAnsi="Times New Roman"/>
          <w:sz w:val="24"/>
          <w:szCs w:val="24"/>
          <w:rtl w:val="0"/>
        </w:rPr>
        <w:t xml:space="preserve"> is a foundational element, associated with cognitive vitality, psychological well-being, and social inclusion in later life (Findsen &amp; Formosa, 2011) (Law et al., 2023). Despite barriers such as physical limitations and low perceived value of formal education among older populations, participation in learning remains a powerful mechanism for promoting agency and connectedness (Patskanick et al., 2021). </w:t>
      </w:r>
      <w:r w:rsidDel="00000000" w:rsidR="00000000" w:rsidRPr="00000000">
        <w:rPr>
          <w:rFonts w:ascii="Times New Roman" w:cs="Times New Roman" w:eastAsia="Times New Roman" w:hAnsi="Times New Roman"/>
          <w:b w:val="1"/>
          <w:bCs w:val="1"/>
          <w:sz w:val="24"/>
          <w:szCs w:val="24"/>
          <w:rtl w:val="0"/>
        </w:rPr>
        <w:t xml:space="preserve">Heutagogy</w:t>
      </w:r>
      <w:r w:rsidDel="00000000" w:rsidR="00000000" w:rsidRPr="00000000">
        <w:rPr>
          <w:rFonts w:ascii="Times New Roman" w:cs="Times New Roman" w:eastAsia="Times New Roman" w:hAnsi="Times New Roman"/>
          <w:sz w:val="24"/>
          <w:szCs w:val="24"/>
          <w:rtl w:val="0"/>
        </w:rPr>
        <w:t xml:space="preserve">, or self-determined learning, further strengthens this approach by emphasizing learner autonomy, reflection, and the personalization of learning goals based on lived experience (Hase &amp; Kenyon, 2000) (Blaschke, Marie, 2012). These principles support more inclusive, flexible learning opportunities for older adults who often engage in informal, narrative-based, and experiential learning modalities.</w:t>
      </w:r>
    </w:p>
    <w:p w:rsidR="00000000" w:rsidDel="00000000" w:rsidP="00000000" w:rsidRDefault="00000000" w:rsidRPr="00000000" w14:paraId="00000101">
      <w:pPr>
        <w:numPr>
          <w:ilvl w:val="0"/>
          <w:numId w:val="1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Storytelling</w:t>
      </w:r>
      <w:r w:rsidDel="00000000" w:rsidR="00000000" w:rsidRPr="00000000">
        <w:rPr>
          <w:rFonts w:ascii="Times New Roman" w:cs="Times New Roman" w:eastAsia="Times New Roman" w:hAnsi="Times New Roman"/>
          <w:sz w:val="24"/>
          <w:szCs w:val="24"/>
          <w:rtl w:val="0"/>
        </w:rPr>
        <w:t xml:space="preserve">, especially in digital forms, serves as both an educational strategy and therapeutic practice. It facilitates identity construction, emotional expression, and intergenerational dialogue (McAdams &amp; McLean, 2013) (Juma, 2022). In aging contexts, narrative engagement has been linked to improved memory, increased self-worth, and reduced feelings of isolation (Rios Rincon et al., 2022) (Stargatt et al., 2022). When embedded in intergenerational programs, storytelling contributes to mutual understanding, challenges age-based stereotypes, and fosters community solidarity (Kaplan, 2002) (Simionato et al., 2023).</w:t>
      </w:r>
    </w:p>
    <w:p w:rsidR="00000000" w:rsidDel="00000000" w:rsidP="00000000" w:rsidRDefault="00000000" w:rsidRPr="00000000" w14:paraId="00000102">
      <w:pPr>
        <w:numPr>
          <w:ilvl w:val="0"/>
          <w:numId w:val="1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framework is structured around the </w:t>
      </w:r>
      <w:r w:rsidDel="00000000" w:rsidR="00000000" w:rsidRPr="00000000">
        <w:rPr>
          <w:rFonts w:ascii="Times New Roman" w:cs="Times New Roman" w:eastAsia="Times New Roman" w:hAnsi="Times New Roman"/>
          <w:b w:val="1"/>
          <w:bCs w:val="1"/>
          <w:sz w:val="24"/>
          <w:szCs w:val="24"/>
          <w:rtl w:val="0"/>
        </w:rPr>
        <w:t xml:space="preserve">GRACE model</w:t>
      </w:r>
      <w:r w:rsidDel="00000000" w:rsidR="00000000" w:rsidRPr="00000000">
        <w:rPr>
          <w:rFonts w:ascii="Times New Roman" w:cs="Times New Roman" w:eastAsia="Times New Roman" w:hAnsi="Times New Roman"/>
          <w:sz w:val="24"/>
          <w:szCs w:val="24"/>
          <w:rtl w:val="0"/>
        </w:rPr>
        <w:t xml:space="preserve">—Growing Healthy, Resourceful, Active, and Enriching life (Gantini et al., 2024)—a holistic model of aging that aligns with international aging frameworks (WHO, 2020) ((UNECE, 2018) while contextualized for older Indonesian adults. It supports multidimensional well-being through preventive health, adaptive capability, social participation, and expressive contribution. The GRACE Index, developed from this model, provides an evaluative structure for assessing intervention outcomes across key domains of later-life quality.</w:t>
      </w:r>
    </w:p>
    <w:p w:rsidR="00000000" w:rsidDel="00000000" w:rsidP="00000000" w:rsidRDefault="00000000" w:rsidRPr="00000000" w14:paraId="0000010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integrating heutagogical learning, digital storytelling, and the GRACE framework, this conceptual model responds to gaps in the literature where educational, emotional, and technological dimensions of aging remain fragmented. It offers a coherent foundation for designing a learner-centered, culturally relevant intervention that promotes self-expression, digital inclusion, and intergenerational engagement—all critical to improving well-being and agency in older adulthood.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2"/>
        <w:rPr>
          <w:rFonts w:ascii="Times New Roman" w:cs="Times New Roman" w:eastAsia="Times New Roman" w:hAnsi="Times New Roman"/>
        </w:rPr>
      </w:pPr>
      <w:bookmarkStart w:colFirst="0" w:colLast="0" w:name="_heading=h.ja7sp64q4y73" w:id="13"/>
      <w:bookmarkEnd w:id="13"/>
      <w:r w:rsidDel="00000000" w:rsidR="00000000" w:rsidRPr="00000000">
        <w:rPr>
          <w:rFonts w:ascii="Times New Roman" w:cs="Times New Roman" w:eastAsia="Times New Roman" w:hAnsi="Times New Roman"/>
          <w:rtl w:val="0"/>
        </w:rPr>
        <w:t xml:space="preserve">Research Methodology</w:t>
      </w:r>
    </w:p>
    <w:p w:rsidR="00000000" w:rsidDel="00000000" w:rsidP="00000000" w:rsidRDefault="00000000" w:rsidRPr="00000000" w14:paraId="00000106">
      <w:pPr>
        <w:pStyle w:val="Heading3"/>
        <w:numPr>
          <w:ilvl w:val="0"/>
          <w:numId w:val="16"/>
        </w:numPr>
        <w:spacing w:after="0" w:lineRule="auto"/>
        <w:ind w:left="360" w:hanging="360"/>
        <w:rPr>
          <w:u w:val="none"/>
        </w:rPr>
      </w:pPr>
      <w:bookmarkStart w:colFirst="0" w:colLast="0" w:name="_heading=h.fmy2iyvbf356" w:id="14"/>
      <w:bookmarkEnd w:id="14"/>
      <w:r w:rsidDel="00000000" w:rsidR="00000000" w:rsidRPr="00000000">
        <w:rPr>
          <w:rtl w:val="0"/>
        </w:rPr>
        <w:t xml:space="preserve">Information about the proposed sample and selection procedures</w:t>
      </w:r>
    </w:p>
    <w:p w:rsidR="00000000" w:rsidDel="00000000" w:rsidP="00000000" w:rsidRDefault="00000000" w:rsidRPr="00000000" w14:paraId="0000010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study will involve approximately </w:t>
      </w:r>
      <w:r w:rsidDel="00000000" w:rsidR="00000000" w:rsidRPr="00000000">
        <w:rPr>
          <w:rFonts w:ascii="Times New Roman" w:cs="Times New Roman" w:eastAsia="Times New Roman" w:hAnsi="Times New Roman"/>
          <w:b w:val="1"/>
          <w:bCs w:val="1"/>
          <w:sz w:val="24"/>
          <w:szCs w:val="24"/>
          <w:rtl w:val="0"/>
        </w:rPr>
        <w:t xml:space="preserve">100 participants</w:t>
      </w:r>
      <w:r w:rsidDel="00000000" w:rsidR="00000000" w:rsidRPr="00000000">
        <w:rPr>
          <w:rFonts w:ascii="Times New Roman" w:cs="Times New Roman" w:eastAsia="Times New Roman" w:hAnsi="Times New Roman"/>
          <w:sz w:val="24"/>
          <w:szCs w:val="24"/>
          <w:rtl w:val="0"/>
        </w:rPr>
        <w:t xml:space="preserve"> drawn from two higher education institutions in Bandung, Indonesia: </w:t>
      </w:r>
      <w:r w:rsidDel="00000000" w:rsidR="00000000" w:rsidRPr="00000000">
        <w:rPr>
          <w:rFonts w:ascii="Times New Roman" w:cs="Times New Roman" w:eastAsia="Times New Roman" w:hAnsi="Times New Roman"/>
          <w:b w:val="1"/>
          <w:bCs w:val="1"/>
          <w:sz w:val="24"/>
          <w:szCs w:val="24"/>
          <w:rtl w:val="0"/>
        </w:rPr>
        <w:t xml:space="preserve">Institut Teknologi Bandung (ITB)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Universitas Kristen Maranatha</w:t>
      </w:r>
      <w:r w:rsidDel="00000000" w:rsidR="00000000" w:rsidRPr="00000000">
        <w:rPr>
          <w:rFonts w:ascii="Times New Roman" w:cs="Times New Roman" w:eastAsia="Times New Roman" w:hAnsi="Times New Roman"/>
          <w:sz w:val="24"/>
          <w:szCs w:val="24"/>
          <w:rtl w:val="0"/>
        </w:rPr>
        <w:t xml:space="preserve">. These sites were selected based on their diverse academic communities and institutional support for intergenerational engagement.</w:t>
      </w:r>
    </w:p>
    <w:p w:rsidR="00000000" w:rsidDel="00000000" w:rsidP="00000000" w:rsidRDefault="00000000" w:rsidRPr="00000000" w14:paraId="0000010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will include </w:t>
      </w:r>
      <w:r w:rsidDel="00000000" w:rsidR="00000000" w:rsidRPr="00000000">
        <w:rPr>
          <w:rFonts w:ascii="Times New Roman" w:cs="Times New Roman" w:eastAsia="Times New Roman" w:hAnsi="Times New Roman"/>
          <w:b w:val="1"/>
          <w:bCs w:val="1"/>
          <w:sz w:val="24"/>
          <w:szCs w:val="24"/>
          <w:rtl w:val="0"/>
        </w:rPr>
        <w:t xml:space="preserve">individual participants from across academic constituencies</w:t>
      </w:r>
      <w:r w:rsidDel="00000000" w:rsidR="00000000" w:rsidRPr="00000000">
        <w:rPr>
          <w:rFonts w:ascii="Times New Roman" w:cs="Times New Roman" w:eastAsia="Times New Roman" w:hAnsi="Times New Roman"/>
          <w:sz w:val="24"/>
          <w:szCs w:val="24"/>
          <w:rtl w:val="0"/>
        </w:rPr>
        <w:t xml:space="preserve">, encompassing faculty, administrative staff, students, alumni, and retirees. The study adopts an </w:t>
      </w:r>
      <w:r w:rsidDel="00000000" w:rsidR="00000000" w:rsidRPr="00000000">
        <w:rPr>
          <w:rFonts w:ascii="Times New Roman" w:cs="Times New Roman" w:eastAsia="Times New Roman" w:hAnsi="Times New Roman"/>
          <w:b w:val="1"/>
          <w:bCs w:val="1"/>
          <w:sz w:val="24"/>
          <w:szCs w:val="24"/>
          <w:rtl w:val="0"/>
        </w:rPr>
        <w:t xml:space="preserve">intergenerational design</w:t>
      </w:r>
      <w:r w:rsidDel="00000000" w:rsidR="00000000" w:rsidRPr="00000000">
        <w:rPr>
          <w:rFonts w:ascii="Times New Roman" w:cs="Times New Roman" w:eastAsia="Times New Roman" w:hAnsi="Times New Roman"/>
          <w:sz w:val="24"/>
          <w:szCs w:val="24"/>
          <w:rtl w:val="0"/>
        </w:rPr>
        <w:t xml:space="preserve">, focusing on individuals </w:t>
      </w:r>
      <w:r w:rsidDel="00000000" w:rsidR="00000000" w:rsidRPr="00000000">
        <w:rPr>
          <w:rFonts w:ascii="Times New Roman" w:cs="Times New Roman" w:eastAsia="Times New Roman" w:hAnsi="Times New Roman"/>
          <w:b w:val="1"/>
          <w:bCs w:val="1"/>
          <w:sz w:val="24"/>
          <w:szCs w:val="24"/>
          <w:rtl w:val="0"/>
        </w:rPr>
        <w:t xml:space="preserve">aged 43 and above</w:t>
      </w:r>
      <w:r w:rsidDel="00000000" w:rsidR="00000000" w:rsidRPr="00000000">
        <w:rPr>
          <w:rFonts w:ascii="Times New Roman" w:cs="Times New Roman" w:eastAsia="Times New Roman" w:hAnsi="Times New Roman"/>
          <w:sz w:val="24"/>
          <w:szCs w:val="24"/>
          <w:rtl w:val="0"/>
        </w:rPr>
        <w:t xml:space="preserve">, a range that includes those in </w:t>
      </w:r>
      <w:r w:rsidDel="00000000" w:rsidR="00000000" w:rsidRPr="00000000">
        <w:rPr>
          <w:rFonts w:ascii="Times New Roman" w:cs="Times New Roman" w:eastAsia="Times New Roman" w:hAnsi="Times New Roman"/>
          <w:b w:val="1"/>
          <w:bCs w:val="1"/>
          <w:sz w:val="24"/>
          <w:szCs w:val="24"/>
          <w:rtl w:val="0"/>
        </w:rPr>
        <w:t xml:space="preserve">middle age (44–59 years)</w:t>
      </w:r>
      <w:r w:rsidDel="00000000" w:rsidR="00000000" w:rsidRPr="00000000">
        <w:rPr>
          <w:rFonts w:ascii="Times New Roman" w:cs="Times New Roman" w:eastAsia="Times New Roman" w:hAnsi="Times New Roman"/>
          <w:sz w:val="24"/>
          <w:szCs w:val="24"/>
          <w:rtl w:val="0"/>
        </w:rPr>
        <w:t xml:space="preserve"> and older adulthood (60+), in line with widely used aging classifications (Dyussenbayev, 2017).</w:t>
      </w:r>
    </w:p>
    <w:p w:rsidR="00000000" w:rsidDel="00000000" w:rsidP="00000000" w:rsidRDefault="00000000" w:rsidRPr="00000000" w14:paraId="000001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must meet the following </w:t>
      </w:r>
      <w:r w:rsidDel="00000000" w:rsidR="00000000" w:rsidRPr="00000000">
        <w:rPr>
          <w:rFonts w:ascii="Times New Roman" w:cs="Times New Roman" w:eastAsia="Times New Roman" w:hAnsi="Times New Roman"/>
          <w:b w:val="1"/>
          <w:bCs w:val="1"/>
          <w:sz w:val="24"/>
          <w:szCs w:val="24"/>
          <w:rtl w:val="0"/>
        </w:rPr>
        <w:t xml:space="preserve">inclusion criteria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numPr>
          <w:ilvl w:val="0"/>
          <w:numId w:val="6"/>
        </w:numPr>
        <w:spacing w:after="0" w:afterAutospacing="0" w:before="240" w:line="276" w:lineRule="auto"/>
        <w:ind w:left="720" w:hanging="360"/>
        <w:jc w:val="both"/>
      </w:pPr>
      <w:r w:rsidDel="00000000" w:rsidR="00000000" w:rsidRPr="00000000">
        <w:rPr>
          <w:rFonts w:ascii="Times New Roman" w:cs="Times New Roman" w:eastAsia="Times New Roman" w:hAnsi="Times New Roman"/>
          <w:sz w:val="24"/>
          <w:szCs w:val="24"/>
          <w:rtl w:val="0"/>
        </w:rPr>
        <w:t xml:space="preserve">Age 43 or older;</w:t>
      </w:r>
    </w:p>
    <w:p w:rsidR="00000000" w:rsidDel="00000000" w:rsidP="00000000" w:rsidRDefault="00000000" w:rsidRPr="00000000" w14:paraId="0000010B">
      <w:pPr>
        <w:numPr>
          <w:ilvl w:val="0"/>
          <w:numId w:val="6"/>
        </w:numPr>
        <w:spacing w:after="0" w:afterAutospacing="0" w:before="0" w:beforeAutospacing="0" w:line="276" w:lineRule="auto"/>
        <w:ind w:left="720" w:hanging="360"/>
        <w:jc w:val="both"/>
      </w:pPr>
      <w:r w:rsidDel="00000000" w:rsidR="00000000" w:rsidRPr="00000000">
        <w:rPr>
          <w:rFonts w:ascii="Times New Roman" w:cs="Times New Roman" w:eastAsia="Times New Roman" w:hAnsi="Times New Roman"/>
          <w:sz w:val="24"/>
          <w:szCs w:val="24"/>
          <w:rtl w:val="0"/>
        </w:rPr>
        <w:t xml:space="preserve">In good physical and mental health (not pregnant, not living with disability that limits participation);</w:t>
      </w:r>
    </w:p>
    <w:p w:rsidR="00000000" w:rsidDel="00000000" w:rsidP="00000000" w:rsidRDefault="00000000" w:rsidRPr="00000000" w14:paraId="0000010C">
      <w:pPr>
        <w:numPr>
          <w:ilvl w:val="0"/>
          <w:numId w:val="6"/>
        </w:numPr>
        <w:spacing w:after="240" w:before="0" w:beforeAutospacing="0" w:line="276" w:lineRule="auto"/>
        <w:ind w:left="720" w:hanging="360"/>
        <w:jc w:val="both"/>
      </w:pPr>
      <w:r w:rsidDel="00000000" w:rsidR="00000000" w:rsidRPr="00000000">
        <w:rPr>
          <w:rFonts w:ascii="Times New Roman" w:cs="Times New Roman" w:eastAsia="Times New Roman" w:hAnsi="Times New Roman"/>
          <w:sz w:val="24"/>
          <w:szCs w:val="24"/>
          <w:rtl w:val="0"/>
        </w:rPr>
        <w:t xml:space="preserve">Possess basic digital skills, specifically the ability to create and manage social media accounts (e.g., Facebook, Instagram, WhatsApp).</w:t>
      </w:r>
    </w:p>
    <w:p w:rsidR="00000000" w:rsidDel="00000000" w:rsidP="00000000" w:rsidRDefault="00000000" w:rsidRPr="00000000" w14:paraId="0000010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sampling strategy</w:t>
      </w:r>
      <w:r w:rsidDel="00000000" w:rsidR="00000000" w:rsidRPr="00000000">
        <w:rPr>
          <w:rFonts w:ascii="Times New Roman" w:cs="Times New Roman" w:eastAsia="Times New Roman" w:hAnsi="Times New Roman"/>
          <w:sz w:val="24"/>
          <w:szCs w:val="24"/>
          <w:rtl w:val="0"/>
        </w:rPr>
        <w:t xml:space="preserve"> combines </w:t>
      </w:r>
      <w:r w:rsidDel="00000000" w:rsidR="00000000" w:rsidRPr="00000000">
        <w:rPr>
          <w:rFonts w:ascii="Times New Roman" w:cs="Times New Roman" w:eastAsia="Times New Roman" w:hAnsi="Times New Roman"/>
          <w:b w:val="1"/>
          <w:bCs w:val="1"/>
          <w:sz w:val="24"/>
          <w:szCs w:val="24"/>
          <w:rtl w:val="0"/>
        </w:rPr>
        <w:t xml:space="preserve">purposive sampling</w:t>
      </w:r>
      <w:r w:rsidDel="00000000" w:rsidR="00000000" w:rsidRPr="00000000">
        <w:rPr>
          <w:rFonts w:ascii="Times New Roman" w:cs="Times New Roman" w:eastAsia="Times New Roman" w:hAnsi="Times New Roman"/>
          <w:sz w:val="24"/>
          <w:szCs w:val="24"/>
          <w:rtl w:val="0"/>
        </w:rPr>
        <w:t xml:space="preserve">—to ensure representation across roles and age cohorts within the university communities—and </w:t>
      </w:r>
      <w:r w:rsidDel="00000000" w:rsidR="00000000" w:rsidRPr="00000000">
        <w:rPr>
          <w:rFonts w:ascii="Times New Roman" w:cs="Times New Roman" w:eastAsia="Times New Roman" w:hAnsi="Times New Roman"/>
          <w:b w:val="1"/>
          <w:bCs w:val="1"/>
          <w:sz w:val="24"/>
          <w:szCs w:val="24"/>
          <w:rtl w:val="0"/>
        </w:rPr>
        <w:t xml:space="preserve">snowball sampling</w:t>
      </w:r>
      <w:r w:rsidDel="00000000" w:rsidR="00000000" w:rsidRPr="00000000">
        <w:rPr>
          <w:rFonts w:ascii="Times New Roman" w:cs="Times New Roman" w:eastAsia="Times New Roman" w:hAnsi="Times New Roman"/>
          <w:sz w:val="24"/>
          <w:szCs w:val="24"/>
          <w:rtl w:val="0"/>
        </w:rPr>
        <w:t xml:space="preserve">, to recruit additional eligible participants through peer and community networks. This approach is appropriate given the study’s emphasis on social connection, narrative sharing, and community-based learning.</w:t>
      </w:r>
    </w:p>
    <w:p w:rsidR="00000000" w:rsidDel="00000000" w:rsidP="00000000" w:rsidRDefault="00000000" w:rsidRPr="00000000" w14:paraId="0000010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participant group offers a unique opportunity to explore aging, lifelong learning, and digital storytelling in a dynamic academic environment. By including pre-retirement and post-retirement individuals within one academic ecosystem, the study aims to examine how self-determined learning and intergenerational narrative practices can promote well-being, connectedness, and digital engagement in later life.</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pStyle w:val="Heading3"/>
        <w:numPr>
          <w:ilvl w:val="0"/>
          <w:numId w:val="16"/>
        </w:numPr>
        <w:spacing w:after="0" w:before="0" w:lineRule="auto"/>
        <w:ind w:left="360" w:hanging="360"/>
        <w:rPr>
          <w:u w:val="none"/>
        </w:rPr>
      </w:pPr>
      <w:bookmarkStart w:colFirst="0" w:colLast="0" w:name="_heading=h.a1y2zb8r6ux0" w:id="15"/>
      <w:bookmarkEnd w:id="15"/>
      <w:r w:rsidDel="00000000" w:rsidR="00000000" w:rsidRPr="00000000">
        <w:rPr>
          <w:rtl w:val="0"/>
        </w:rPr>
        <w:t xml:space="preserve">R</w:t>
      </w:r>
      <w:r w:rsidDel="00000000" w:rsidR="00000000" w:rsidRPr="00000000">
        <w:rPr>
          <w:rtl w:val="0"/>
        </w:rPr>
        <w:t xml:space="preserve">esearch design</w:t>
      </w:r>
    </w:p>
    <w:p w:rsidR="00000000" w:rsidDel="00000000" w:rsidP="00000000" w:rsidRDefault="00000000" w:rsidRPr="00000000" w14:paraId="0000011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a </w:t>
      </w:r>
      <w:r w:rsidDel="00000000" w:rsidR="00000000" w:rsidRPr="00000000">
        <w:rPr>
          <w:rFonts w:ascii="Times New Roman" w:cs="Times New Roman" w:eastAsia="Times New Roman" w:hAnsi="Times New Roman"/>
          <w:b w:val="1"/>
          <w:bCs w:val="1"/>
          <w:sz w:val="24"/>
          <w:szCs w:val="24"/>
          <w:rtl w:val="0"/>
        </w:rPr>
        <w:t xml:space="preserve">mixed-methods research design</w:t>
      </w:r>
      <w:r w:rsidDel="00000000" w:rsidR="00000000" w:rsidRPr="00000000">
        <w:rPr>
          <w:rFonts w:ascii="Times New Roman" w:cs="Times New Roman" w:eastAsia="Times New Roman" w:hAnsi="Times New Roman"/>
          <w:sz w:val="24"/>
          <w:szCs w:val="24"/>
          <w:rtl w:val="0"/>
        </w:rPr>
        <w:t xml:space="preserve">, combining quantitative assessment and qualitative inquiry to examine how digital storytelling and self-determined learning influence well-being, social connectedness, and digital inclusion among middle-aged and older adults.</w:t>
      </w:r>
    </w:p>
    <w:p w:rsidR="00000000" w:rsidDel="00000000" w:rsidP="00000000" w:rsidRDefault="00000000" w:rsidRPr="00000000" w14:paraId="0000011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will take place in two Indonesian higher education institutions—</w:t>
      </w:r>
      <w:r w:rsidDel="00000000" w:rsidR="00000000" w:rsidRPr="00000000">
        <w:rPr>
          <w:rFonts w:ascii="Times New Roman" w:cs="Times New Roman" w:eastAsia="Times New Roman" w:hAnsi="Times New Roman"/>
          <w:b w:val="1"/>
          <w:bCs w:val="1"/>
          <w:sz w:val="24"/>
          <w:szCs w:val="24"/>
          <w:rtl w:val="0"/>
        </w:rPr>
        <w:t xml:space="preserve">Institut Teknologi Bandung (ITB) Ganesha Bandung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Universitas Kristen Maranatha Bandung</w:t>
      </w:r>
      <w:r w:rsidDel="00000000" w:rsidR="00000000" w:rsidRPr="00000000">
        <w:rPr>
          <w:rFonts w:ascii="Times New Roman" w:cs="Times New Roman" w:eastAsia="Times New Roman" w:hAnsi="Times New Roman"/>
          <w:sz w:val="24"/>
          <w:szCs w:val="24"/>
          <w:rtl w:val="0"/>
        </w:rPr>
        <w:t xml:space="preserve">—chosen for their diverse academic communities spanning multiple generations, including students, faculty, administrative staff, alumni, and retirees. These settings provide a natural context for intergenerational learning and lifelong education practices.</w:t>
      </w:r>
    </w:p>
    <w:p w:rsidR="00000000" w:rsidDel="00000000" w:rsidP="00000000" w:rsidRDefault="00000000" w:rsidRPr="00000000" w14:paraId="000001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design is structured into three sequential phases:</w:t>
      </w:r>
    </w:p>
    <w:p w:rsidR="00000000" w:rsidDel="00000000" w:rsidP="00000000" w:rsidRDefault="00000000" w:rsidRPr="00000000" w14:paraId="00000114">
      <w:pPr>
        <w:numPr>
          <w:ilvl w:val="0"/>
          <w:numId w:val="2"/>
        </w:numPr>
        <w:spacing w:after="240" w:before="240" w:line="276"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Baseline Assessment (Quantitative):</w:t>
      </w:r>
    </w:p>
    <w:p w:rsidR="00000000" w:rsidDel="00000000" w:rsidP="00000000" w:rsidRDefault="00000000" w:rsidRPr="00000000" w14:paraId="00000115">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complete the </w:t>
      </w:r>
      <w:r w:rsidDel="00000000" w:rsidR="00000000" w:rsidRPr="00000000">
        <w:rPr>
          <w:rFonts w:ascii="Times New Roman" w:cs="Times New Roman" w:eastAsia="Times New Roman" w:hAnsi="Times New Roman"/>
          <w:b w:val="1"/>
          <w:bCs w:val="1"/>
          <w:sz w:val="24"/>
          <w:szCs w:val="24"/>
          <w:rtl w:val="0"/>
        </w:rPr>
        <w:t xml:space="preserve">GRACE Index</w:t>
      </w:r>
      <w:r w:rsidDel="00000000" w:rsidR="00000000" w:rsidRPr="00000000">
        <w:rPr>
          <w:rFonts w:ascii="Times New Roman" w:cs="Times New Roman" w:eastAsia="Times New Roman" w:hAnsi="Times New Roman"/>
          <w:sz w:val="24"/>
          <w:szCs w:val="24"/>
          <w:rtl w:val="0"/>
        </w:rPr>
        <w:t xml:space="preserve">, a multidimensional tool measuring physical and mental health, resourcefulness, active, and enriching life experiences. This data will establish a quantitative baseline for participant well-being prior to the intervention.</w:t>
      </w:r>
    </w:p>
    <w:p w:rsidR="00000000" w:rsidDel="00000000" w:rsidP="00000000" w:rsidRDefault="00000000" w:rsidRPr="00000000" w14:paraId="00000116">
      <w:pPr>
        <w:numPr>
          <w:ilvl w:val="0"/>
          <w:numId w:val="11"/>
        </w:numPr>
        <w:spacing w:after="240" w:before="240" w:line="276" w:lineRule="auto"/>
        <w:ind w:left="720" w:hanging="360"/>
      </w:pPr>
      <w:r w:rsidDel="00000000" w:rsidR="00000000" w:rsidRPr="00000000">
        <w:rPr>
          <w:rFonts w:ascii="Times New Roman" w:cs="Times New Roman" w:eastAsia="Times New Roman" w:hAnsi="Times New Roman"/>
          <w:b w:val="1"/>
          <w:bCs w:val="1"/>
          <w:sz w:val="24"/>
          <w:szCs w:val="24"/>
          <w:rtl w:val="0"/>
        </w:rPr>
        <w:t xml:space="preserve">Intervention Phase (Qualitative + Participatory)</w:t>
      </w:r>
    </w:p>
    <w:p w:rsidR="00000000" w:rsidDel="00000000" w:rsidP="00000000" w:rsidRDefault="00000000" w:rsidRPr="00000000" w14:paraId="00000117">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take part in a </w:t>
      </w:r>
      <w:r w:rsidDel="00000000" w:rsidR="00000000" w:rsidRPr="00000000">
        <w:rPr>
          <w:rFonts w:ascii="Times New Roman" w:cs="Times New Roman" w:eastAsia="Times New Roman" w:hAnsi="Times New Roman"/>
          <w:b w:val="1"/>
          <w:bCs w:val="1"/>
          <w:sz w:val="24"/>
          <w:szCs w:val="24"/>
          <w:rtl w:val="0"/>
        </w:rPr>
        <w:t xml:space="preserve">GRACE-based digital storytelling intervention</w:t>
      </w:r>
      <w:r w:rsidDel="00000000" w:rsidR="00000000" w:rsidRPr="00000000">
        <w:rPr>
          <w:rFonts w:ascii="Times New Roman" w:cs="Times New Roman" w:eastAsia="Times New Roman" w:hAnsi="Times New Roman"/>
          <w:sz w:val="24"/>
          <w:szCs w:val="24"/>
          <w:rtl w:val="0"/>
        </w:rPr>
        <w:t xml:space="preserve">, involving co-designed workshops and the use of interactive adaptive learning platform where they create and share personal narratives using digital media. Activities emphasize learner autonomy, intergenerational exchange, and self-reflection, aligned with </w:t>
      </w:r>
      <w:r w:rsidDel="00000000" w:rsidR="00000000" w:rsidRPr="00000000">
        <w:rPr>
          <w:rFonts w:ascii="Times New Roman" w:cs="Times New Roman" w:eastAsia="Times New Roman" w:hAnsi="Times New Roman"/>
          <w:b w:val="1"/>
          <w:bCs w:val="1"/>
          <w:sz w:val="24"/>
          <w:szCs w:val="24"/>
          <w:rtl w:val="0"/>
        </w:rPr>
        <w:t xml:space="preserve">heutagogical principles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numPr>
          <w:ilvl w:val="0"/>
          <w:numId w:val="7"/>
        </w:numPr>
        <w:spacing w:after="240" w:before="240" w:line="276"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Post-Intervention Evaluation (Mixed)</w:t>
      </w:r>
    </w:p>
    <w:p w:rsidR="00000000" w:rsidDel="00000000" w:rsidP="00000000" w:rsidRDefault="00000000" w:rsidRPr="00000000" w14:paraId="00000119">
      <w:pPr>
        <w:spacing w:after="240" w:before="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intervention, participants will complete a second GRACE Index assessment to measure learning outcomes well-being. In-depth interviews, reflective journaling, and focus groups will be conducted to capture personal experiences, narrative development, and perceived impact of the program.</w:t>
      </w:r>
    </w:p>
    <w:p w:rsidR="00000000" w:rsidDel="00000000" w:rsidP="00000000" w:rsidRDefault="00000000" w:rsidRPr="00000000" w14:paraId="0000011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mixed-methods approach allows for both measurable outcomes and rich narrative insights. Embedding the study in university settings further allows the research to explore how formal institutions can foster inclusive, age-diverse learning environments that support aging with agency and dignity.</w:t>
      </w:r>
    </w:p>
    <w:p w:rsidR="00000000" w:rsidDel="00000000" w:rsidP="00000000" w:rsidRDefault="00000000" w:rsidRPr="00000000" w14:paraId="0000011B">
      <w:pPr>
        <w:pStyle w:val="Heading3"/>
        <w:spacing w:after="0" w:before="0" w:lineRule="auto"/>
        <w:ind w:left="0" w:firstLine="0"/>
        <w:rPr/>
      </w:pPr>
      <w:bookmarkStart w:colFirst="0" w:colLast="0" w:name="_heading=h.r81s6xpo2w3c" w:id="16"/>
      <w:bookmarkEnd w:id="16"/>
      <w:r w:rsidDel="00000000" w:rsidR="00000000" w:rsidRPr="00000000">
        <w:rPr>
          <w:rtl w:val="0"/>
        </w:rPr>
        <w:t xml:space="preserve">c. D</w:t>
      </w:r>
      <w:r w:rsidDel="00000000" w:rsidR="00000000" w:rsidRPr="00000000">
        <w:rPr>
          <w:rtl w:val="0"/>
        </w:rPr>
        <w:t xml:space="preserve">escription of key constructs, measures and data sources</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several interrelated constructs relevant to well-being in later life, digital engagement, and learner agency. The constructs are drawn from both theoretical foundations and empirical frameworks referenced in the literature review, and they are operationalized through a combination of </w:t>
      </w:r>
      <w:r w:rsidDel="00000000" w:rsidR="00000000" w:rsidRPr="00000000">
        <w:rPr>
          <w:rFonts w:ascii="Times New Roman" w:cs="Times New Roman" w:eastAsia="Times New Roman" w:hAnsi="Times New Roman"/>
          <w:b w:val="1"/>
          <w:bCs w:val="1"/>
          <w:sz w:val="24"/>
          <w:szCs w:val="24"/>
          <w:rtl w:val="0"/>
        </w:rPr>
        <w:t xml:space="preserve">quantitative indices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qualitative data collection 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pStyle w:val="Heading4"/>
        <w:numPr>
          <w:ilvl w:val="0"/>
          <w:numId w:val="12"/>
        </w:numPr>
        <w:spacing w:after="0" w:afterAutospacing="0"/>
        <w:ind w:left="450" w:hanging="360"/>
        <w:rPr>
          <w:sz w:val="24"/>
          <w:szCs w:val="24"/>
        </w:rPr>
      </w:pPr>
      <w:bookmarkStart w:colFirst="0" w:colLast="0" w:name="_heading=h.hz2wlil748gu" w:id="17"/>
      <w:bookmarkEnd w:id="17"/>
      <w:r w:rsidDel="00000000" w:rsidR="00000000" w:rsidRPr="00000000">
        <w:rPr>
          <w:sz w:val="24"/>
          <w:szCs w:val="24"/>
          <w:rtl w:val="0"/>
        </w:rPr>
        <w:t xml:space="preserve">Key Constructs</w:t>
      </w:r>
    </w:p>
    <w:p w:rsidR="00000000" w:rsidDel="00000000" w:rsidP="00000000" w:rsidRDefault="00000000" w:rsidRPr="00000000" w14:paraId="0000011E">
      <w:pPr>
        <w:numPr>
          <w:ilvl w:val="0"/>
          <w:numId w:val="3"/>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Well-being in Later Life</w:t>
        <w:br w:type="textWrapping"/>
      </w:r>
      <w:r w:rsidDel="00000000" w:rsidR="00000000" w:rsidRPr="00000000">
        <w:rPr>
          <w:rFonts w:ascii="Times New Roman" w:cs="Times New Roman" w:eastAsia="Times New Roman" w:hAnsi="Times New Roman"/>
          <w:sz w:val="24"/>
          <w:szCs w:val="24"/>
          <w:rtl w:val="0"/>
        </w:rPr>
        <w:t xml:space="preserve"> Informed by the GRACE model (Gantini et al., 2024), this construct includes four dimensions:</w:t>
      </w:r>
    </w:p>
    <w:p w:rsidR="00000000" w:rsidDel="00000000" w:rsidP="00000000" w:rsidRDefault="00000000" w:rsidRPr="00000000" w14:paraId="0000011F">
      <w:pPr>
        <w:numPr>
          <w:ilvl w:val="1"/>
          <w:numId w:val="3"/>
        </w:numPr>
        <w:spacing w:after="0" w:afterAutospacing="0" w:before="0" w:beforeAutospacing="0" w:line="276" w:lineRule="auto"/>
        <w:ind w:left="1440" w:hanging="360"/>
        <w:jc w:val="both"/>
        <w:rPr>
          <w:sz w:val="24"/>
          <w:szCs w:val="24"/>
        </w:rPr>
      </w:pPr>
      <w:r w:rsidDel="00000000" w:rsidR="00000000" w:rsidRPr="00000000">
        <w:rPr>
          <w:b w:val="1"/>
          <w:bCs w:val="1"/>
          <w:sz w:val="24"/>
          <w:szCs w:val="24"/>
          <w:rtl w:val="0"/>
        </w:rPr>
        <w:t xml:space="preserve">Healthy</w:t>
      </w:r>
      <w:r w:rsidDel="00000000" w:rsidR="00000000" w:rsidRPr="00000000">
        <w:rPr>
          <w:rFonts w:ascii="Times New Roman" w:cs="Times New Roman" w:eastAsia="Times New Roman" w:hAnsi="Times New Roman"/>
          <w:sz w:val="24"/>
          <w:szCs w:val="24"/>
          <w:rtl w:val="0"/>
        </w:rPr>
        <w:t xml:space="preserve">: physical and psychological health status</w:t>
      </w:r>
    </w:p>
    <w:p w:rsidR="00000000" w:rsidDel="00000000" w:rsidP="00000000" w:rsidRDefault="00000000" w:rsidRPr="00000000" w14:paraId="00000120">
      <w:pPr>
        <w:numPr>
          <w:ilvl w:val="1"/>
          <w:numId w:val="3"/>
        </w:numPr>
        <w:spacing w:after="0" w:afterAutospacing="0" w:before="0" w:beforeAutospacing="0" w:line="276" w:lineRule="auto"/>
        <w:ind w:left="1440" w:hanging="360"/>
        <w:jc w:val="both"/>
        <w:rPr>
          <w:sz w:val="24"/>
          <w:szCs w:val="24"/>
        </w:rPr>
      </w:pPr>
      <w:r w:rsidDel="00000000" w:rsidR="00000000" w:rsidRPr="00000000">
        <w:rPr>
          <w:b w:val="1"/>
          <w:bCs w:val="1"/>
          <w:sz w:val="24"/>
          <w:szCs w:val="24"/>
          <w:rtl w:val="0"/>
        </w:rPr>
        <w:t xml:space="preserve">Resourceful</w:t>
      </w:r>
      <w:r w:rsidDel="00000000" w:rsidR="00000000" w:rsidRPr="00000000">
        <w:rPr>
          <w:rFonts w:ascii="Times New Roman" w:cs="Times New Roman" w:eastAsia="Times New Roman" w:hAnsi="Times New Roman"/>
          <w:sz w:val="24"/>
          <w:szCs w:val="24"/>
          <w:rtl w:val="0"/>
        </w:rPr>
        <w:t xml:space="preserve">: perceived ability to manage challenges, access services, and apply problem-solving</w:t>
      </w:r>
    </w:p>
    <w:p w:rsidR="00000000" w:rsidDel="00000000" w:rsidP="00000000" w:rsidRDefault="00000000" w:rsidRPr="00000000" w14:paraId="00000121">
      <w:pPr>
        <w:numPr>
          <w:ilvl w:val="1"/>
          <w:numId w:val="3"/>
        </w:numPr>
        <w:spacing w:after="0" w:afterAutospacing="0" w:before="0" w:beforeAutospacing="0" w:line="276" w:lineRule="auto"/>
        <w:ind w:left="1440" w:hanging="360"/>
        <w:jc w:val="both"/>
        <w:rPr>
          <w:sz w:val="24"/>
          <w:szCs w:val="24"/>
        </w:rPr>
      </w:pPr>
      <w:r w:rsidDel="00000000" w:rsidR="00000000" w:rsidRPr="00000000">
        <w:rPr>
          <w:b w:val="1"/>
          <w:bCs w:val="1"/>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participation in learning, social, and community activities</w:t>
      </w:r>
    </w:p>
    <w:p w:rsidR="00000000" w:rsidDel="00000000" w:rsidP="00000000" w:rsidRDefault="00000000" w:rsidRPr="00000000" w14:paraId="00000122">
      <w:pPr>
        <w:numPr>
          <w:ilvl w:val="1"/>
          <w:numId w:val="3"/>
        </w:numPr>
        <w:spacing w:after="0" w:afterAutospacing="0" w:before="0" w:beforeAutospacing="0" w:line="276" w:lineRule="auto"/>
        <w:ind w:left="1440" w:hanging="360"/>
        <w:jc w:val="both"/>
        <w:rPr>
          <w:sz w:val="24"/>
          <w:szCs w:val="24"/>
        </w:rPr>
      </w:pPr>
      <w:r w:rsidDel="00000000" w:rsidR="00000000" w:rsidRPr="00000000">
        <w:rPr>
          <w:b w:val="1"/>
          <w:bCs w:val="1"/>
          <w:sz w:val="24"/>
          <w:szCs w:val="24"/>
          <w:rtl w:val="0"/>
        </w:rPr>
        <w:t xml:space="preserve">Enriching</w:t>
      </w:r>
      <w:r w:rsidDel="00000000" w:rsidR="00000000" w:rsidRPr="00000000">
        <w:rPr>
          <w:rFonts w:ascii="Times New Roman" w:cs="Times New Roman" w:eastAsia="Times New Roman" w:hAnsi="Times New Roman"/>
          <w:sz w:val="24"/>
          <w:szCs w:val="24"/>
          <w:rtl w:val="0"/>
        </w:rPr>
        <w:t xml:space="preserve">: sense of purpose, emotional connection, and meaningful contributions to others</w:t>
      </w:r>
    </w:p>
    <w:p w:rsidR="00000000" w:rsidDel="00000000" w:rsidP="00000000" w:rsidRDefault="00000000" w:rsidRPr="00000000" w14:paraId="00000123">
      <w:pPr>
        <w:numPr>
          <w:ilvl w:val="0"/>
          <w:numId w:val="3"/>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Learner Agency and Autonomy</w:t>
        <w:br w:type="textWrapping"/>
      </w:r>
      <w:r w:rsidDel="00000000" w:rsidR="00000000" w:rsidRPr="00000000">
        <w:rPr>
          <w:rFonts w:ascii="Times New Roman" w:cs="Times New Roman" w:eastAsia="Times New Roman" w:hAnsi="Times New Roman"/>
          <w:sz w:val="24"/>
          <w:szCs w:val="24"/>
          <w:rtl w:val="0"/>
        </w:rPr>
        <w:t xml:space="preserve"> Based on principles of </w:t>
      </w:r>
      <w:r w:rsidDel="00000000" w:rsidR="00000000" w:rsidRPr="00000000">
        <w:rPr>
          <w:rFonts w:ascii="Times New Roman" w:cs="Times New Roman" w:eastAsia="Times New Roman" w:hAnsi="Times New Roman"/>
          <w:b w:val="1"/>
          <w:bCs w:val="1"/>
          <w:sz w:val="24"/>
          <w:szCs w:val="24"/>
          <w:rtl w:val="0"/>
        </w:rPr>
        <w:t xml:space="preserve">heutagogy</w:t>
      </w:r>
      <w:r w:rsidDel="00000000" w:rsidR="00000000" w:rsidRPr="00000000">
        <w:rPr>
          <w:rFonts w:ascii="Times New Roman" w:cs="Times New Roman" w:eastAsia="Times New Roman" w:hAnsi="Times New Roman"/>
          <w:sz w:val="24"/>
          <w:szCs w:val="24"/>
          <w:rtl w:val="0"/>
        </w:rPr>
        <w:t xml:space="preserve"> (Hase &amp; Kenyon, 2000; Blaschke, 2012), this construct refers to participants’ perceived ownership over their learning goals, decision-making in the learning process, and reflective capacity.</w:t>
      </w:r>
    </w:p>
    <w:p w:rsidR="00000000" w:rsidDel="00000000" w:rsidP="00000000" w:rsidRDefault="00000000" w:rsidRPr="00000000" w14:paraId="00000124">
      <w:pPr>
        <w:numPr>
          <w:ilvl w:val="0"/>
          <w:numId w:val="3"/>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Social Connectedness and Intergenerational Engagement</w:t>
        <w:br w:type="textWrapping"/>
      </w:r>
      <w:r w:rsidDel="00000000" w:rsidR="00000000" w:rsidRPr="00000000">
        <w:rPr>
          <w:rFonts w:ascii="Times New Roman" w:cs="Times New Roman" w:eastAsia="Times New Roman" w:hAnsi="Times New Roman"/>
          <w:sz w:val="24"/>
          <w:szCs w:val="24"/>
          <w:rtl w:val="0"/>
        </w:rPr>
        <w:t xml:space="preserve"> This includes the frequency and quality of participants’ social interactions, perceived connectedness, and engagement across generational lines (Kaplan, 2002; Simionato et al., 2023).</w:t>
      </w:r>
    </w:p>
    <w:p w:rsidR="00000000" w:rsidDel="00000000" w:rsidP="00000000" w:rsidRDefault="00000000" w:rsidRPr="00000000" w14:paraId="00000125">
      <w:pPr>
        <w:numPr>
          <w:ilvl w:val="0"/>
          <w:numId w:val="3"/>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Digital Literacy and Technology Use</w:t>
        <w:br w:type="textWrapping"/>
      </w:r>
      <w:r w:rsidDel="00000000" w:rsidR="00000000" w:rsidRPr="00000000">
        <w:rPr>
          <w:rFonts w:ascii="Times New Roman" w:cs="Times New Roman" w:eastAsia="Times New Roman" w:hAnsi="Times New Roman"/>
          <w:sz w:val="24"/>
          <w:szCs w:val="24"/>
          <w:rtl w:val="0"/>
        </w:rPr>
        <w:t xml:space="preserve"> Encompasses participants’ comfort with and usage of digital tools and platforms, particularly in the context of narrative creation, communication, and social media (Robin, 2008; Martín-García et al., 2022).</w:t>
      </w:r>
    </w:p>
    <w:p w:rsidR="00000000" w:rsidDel="00000000" w:rsidP="00000000" w:rsidRDefault="00000000" w:rsidRPr="00000000" w14:paraId="00000126">
      <w:pPr>
        <w:pStyle w:val="Heading4"/>
        <w:rPr>
          <w:sz w:val="24"/>
          <w:szCs w:val="24"/>
        </w:rPr>
      </w:pPr>
      <w:bookmarkStart w:colFirst="0" w:colLast="0" w:name="_heading=h.fooqghs46d6j" w:id="18"/>
      <w:bookmarkEnd w:id="18"/>
      <w:r w:rsidDel="00000000" w:rsidR="00000000" w:rsidRPr="00000000">
        <w:rPr>
          <w:sz w:val="24"/>
          <w:szCs w:val="24"/>
          <w:rtl w:val="0"/>
        </w:rPr>
        <w:t xml:space="preserve">II. </w:t>
      </w:r>
      <w:r w:rsidDel="00000000" w:rsidR="00000000" w:rsidRPr="00000000">
        <w:rPr>
          <w:sz w:val="24"/>
          <w:szCs w:val="24"/>
          <w:rtl w:val="0"/>
        </w:rPr>
        <w:t xml:space="preserve">Measures and Data Sources</w:t>
      </w:r>
    </w:p>
    <w:p w:rsidR="00000000" w:rsidDel="00000000" w:rsidP="00000000" w:rsidRDefault="00000000" w:rsidRPr="00000000" w14:paraId="00000127">
      <w:pPr>
        <w:numPr>
          <w:ilvl w:val="0"/>
          <w:numId w:val="4"/>
        </w:numPr>
        <w:spacing w:after="0" w:afterAutospacing="0" w:before="240" w:line="276" w:lineRule="auto"/>
        <w:ind w:left="720" w:hanging="360"/>
        <w:rPr>
          <w:sz w:val="24"/>
          <w:szCs w:val="24"/>
        </w:rPr>
      </w:pPr>
      <w:r w:rsidDel="00000000" w:rsidR="00000000" w:rsidRPr="00000000">
        <w:rPr>
          <w:b w:val="1"/>
          <w:bCs w:val="1"/>
          <w:sz w:val="24"/>
          <w:szCs w:val="24"/>
          <w:rtl w:val="0"/>
        </w:rPr>
        <w:t xml:space="preserve">GRACE Index (Pre and Post)</w:t>
        <w:br w:type="textWrapping"/>
      </w:r>
      <w:r w:rsidDel="00000000" w:rsidR="00000000" w:rsidRPr="00000000">
        <w:rPr>
          <w:rFonts w:ascii="Times New Roman" w:cs="Times New Roman" w:eastAsia="Times New Roman" w:hAnsi="Times New Roman"/>
          <w:sz w:val="24"/>
          <w:szCs w:val="24"/>
          <w:rtl w:val="0"/>
        </w:rPr>
        <w:t xml:space="preserve"> A structured instrument developed to measure participants’ status across the four GRACE domains using validated sub-indicators from health, psychology, education, and social participation. It yields a composite well-being score and domain-specific scores.</w:t>
      </w:r>
    </w:p>
    <w:p w:rsidR="00000000" w:rsidDel="00000000" w:rsidP="00000000" w:rsidRDefault="00000000" w:rsidRPr="00000000" w14:paraId="00000128">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Participant Survey (Demographics &amp; Digital Profile)</w:t>
        <w:br w:type="textWrapping"/>
      </w:r>
      <w:r w:rsidDel="00000000" w:rsidR="00000000" w:rsidRPr="00000000">
        <w:rPr>
          <w:rFonts w:ascii="Times New Roman" w:cs="Times New Roman" w:eastAsia="Times New Roman" w:hAnsi="Times New Roman"/>
          <w:sz w:val="24"/>
          <w:szCs w:val="24"/>
          <w:rtl w:val="0"/>
        </w:rPr>
        <w:t xml:space="preserve"> Administered at baseline, this survey collects demographic information (age, gender, role in the university, education level) and digital habits (platforms used, frequency, prior experience with media creation).</w:t>
      </w:r>
    </w:p>
    <w:p w:rsidR="00000000" w:rsidDel="00000000" w:rsidP="00000000" w:rsidRDefault="00000000" w:rsidRPr="00000000" w14:paraId="00000129">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In-depth Interviews and Focus Groups</w:t>
        <w:br w:type="textWrapping"/>
      </w:r>
      <w:r w:rsidDel="00000000" w:rsidR="00000000" w:rsidRPr="00000000">
        <w:rPr>
          <w:rFonts w:ascii="Times New Roman" w:cs="Times New Roman" w:eastAsia="Times New Roman" w:hAnsi="Times New Roman"/>
          <w:sz w:val="24"/>
          <w:szCs w:val="24"/>
          <w:rtl w:val="0"/>
        </w:rPr>
        <w:t xml:space="preserve"> Conducted post-intervention to explore participant experiences, learning outcomes, emotional impact, and narrative processes. These sessions will be audio-recorded and transcribed for thematic analysis.</w:t>
      </w:r>
    </w:p>
    <w:p w:rsidR="00000000" w:rsidDel="00000000" w:rsidP="00000000" w:rsidRDefault="00000000" w:rsidRPr="00000000" w14:paraId="0000012A">
      <w:pPr>
        <w:numPr>
          <w:ilvl w:val="0"/>
          <w:numId w:val="4"/>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Digital Storytelling Artifacts</w:t>
        <w:br w:type="textWrapping"/>
      </w:r>
      <w:r w:rsidDel="00000000" w:rsidR="00000000" w:rsidRPr="00000000">
        <w:rPr>
          <w:rFonts w:ascii="Times New Roman" w:cs="Times New Roman" w:eastAsia="Times New Roman" w:hAnsi="Times New Roman"/>
          <w:sz w:val="24"/>
          <w:szCs w:val="24"/>
          <w:rtl w:val="0"/>
        </w:rPr>
        <w:t xml:space="preserve"> Participants’ final digital stories will serve as both a learning product and a qualitative data source. Content analysis will explore themes of identity, aging, agency, and intergenerational connection.</w:t>
      </w:r>
    </w:p>
    <w:p w:rsidR="00000000" w:rsidDel="00000000" w:rsidP="00000000" w:rsidRDefault="00000000" w:rsidRPr="00000000" w14:paraId="0000012B">
      <w:pPr>
        <w:numPr>
          <w:ilvl w:val="0"/>
          <w:numId w:val="4"/>
        </w:numPr>
        <w:spacing w:after="240" w:before="0" w:beforeAutospacing="0" w:line="276" w:lineRule="auto"/>
        <w:ind w:left="720" w:hanging="360"/>
        <w:rPr>
          <w:sz w:val="24"/>
          <w:szCs w:val="24"/>
        </w:rPr>
      </w:pPr>
      <w:r w:rsidDel="00000000" w:rsidR="00000000" w:rsidRPr="00000000">
        <w:rPr>
          <w:b w:val="1"/>
          <w:bCs w:val="1"/>
          <w:sz w:val="24"/>
          <w:szCs w:val="24"/>
          <w:rtl w:val="0"/>
        </w:rPr>
        <w:t xml:space="preserve">Reflective Journals</w:t>
        <w:br w:type="textWrapping"/>
      </w:r>
      <w:r w:rsidDel="00000000" w:rsidR="00000000" w:rsidRPr="00000000">
        <w:rPr>
          <w:rFonts w:ascii="Times New Roman" w:cs="Times New Roman" w:eastAsia="Times New Roman" w:hAnsi="Times New Roman"/>
          <w:sz w:val="24"/>
          <w:szCs w:val="24"/>
          <w:rtl w:val="0"/>
        </w:rPr>
        <w:t xml:space="preserve"> Throughout the intervention, participants will complete short reflections that capture ongoing thoughts, emotions, and learning moments. These entries will provide insight into the developmental process of self-determined learning.</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combination of instruments allows triangulation across data sources and a more holistic understanding of intervention impact, encompassing measurable outcomes and subjective experiences relevant to future education and well-being. The summary can be seen in Table 1.</w:t>
      </w:r>
    </w:p>
    <w:p w:rsidR="00000000" w:rsidDel="00000000" w:rsidP="00000000" w:rsidRDefault="00000000" w:rsidRPr="00000000" w14:paraId="000001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1. </w:t>
      </w:r>
      <w:r w:rsidDel="00000000" w:rsidR="00000000" w:rsidRPr="00000000">
        <w:rPr>
          <w:rFonts w:ascii="Times New Roman" w:cs="Times New Roman" w:eastAsia="Times New Roman" w:hAnsi="Times New Roman"/>
          <w:rtl w:val="0"/>
        </w:rPr>
        <w:t xml:space="preserve">Summary of Constructs, Measures, and Data Sources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385"/>
        <w:gridCol w:w="2355"/>
        <w:gridCol w:w="2325"/>
        <w:tblGridChange w:id="0">
          <w:tblGrid>
            <w:gridCol w:w="1815"/>
            <w:gridCol w:w="2385"/>
            <w:gridCol w:w="2355"/>
            <w:gridCol w:w="2325"/>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Construct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Measure/Instrument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Source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 of Measurement</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Well-being in later life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GRACE Index (Pre &amp; Post)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self-report (survey form)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assess baseline and post-intervention well-being across 4 GRACE domains</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Learner agency and autonomy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Reflective Journals; Interviews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narratives &amp; reflections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explore self-determined learning experiences and learner control</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connectedness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Interviews; Focus Groups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responses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understand perceived connectedness and quality of social interaction</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Intergenerational engagement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Content of Digital Stories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Story artifacts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analyze themes of cross-generational relationships and insights</w:t>
            </w:r>
          </w:p>
        </w:tc>
      </w:tr>
      <w:tr>
        <w:trPr>
          <w:cantSplit w:val="0"/>
          <w:trHeight w:val="76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literacy and technology use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Digital Profile Survey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 self-report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prior exposure, confidence, and comfort with digital tools</w:t>
            </w:r>
          </w:p>
        </w:tc>
      </w:tr>
      <w:tr>
        <w:trPr>
          <w:cantSplit w:val="0"/>
          <w:trHeight w:val="102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and personal meaning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Storytelling Content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Participant-created media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examine narrative expression of identity, purpose, and life experience</w:t>
            </w:r>
          </w:p>
        </w:tc>
      </w:tr>
    </w:tbl>
    <w:p w:rsidR="00000000" w:rsidDel="00000000" w:rsidP="00000000" w:rsidRDefault="00000000" w:rsidRPr="00000000" w14:paraId="0000014A">
      <w:pPr>
        <w:pStyle w:val="Heading3"/>
        <w:spacing w:after="0" w:before="0" w:lineRule="auto"/>
        <w:ind w:left="0" w:firstLine="0"/>
        <w:rPr/>
      </w:pPr>
      <w:bookmarkStart w:colFirst="0" w:colLast="0" w:name="_heading=h.btaq3xwnyg5s" w:id="19"/>
      <w:bookmarkEnd w:id="19"/>
      <w:r w:rsidDel="00000000" w:rsidR="00000000" w:rsidRPr="00000000">
        <w:rPr>
          <w:rtl w:val="0"/>
        </w:rPr>
      </w:r>
    </w:p>
    <w:p w:rsidR="00000000" w:rsidDel="00000000" w:rsidP="00000000" w:rsidRDefault="00000000" w:rsidRPr="00000000" w14:paraId="0000014B">
      <w:pPr>
        <w:pStyle w:val="Heading3"/>
        <w:spacing w:after="0" w:before="0" w:lineRule="auto"/>
        <w:ind w:left="0" w:firstLine="0"/>
        <w:rPr/>
      </w:pPr>
      <w:bookmarkStart w:colFirst="0" w:colLast="0" w:name="_heading=h.o3xdgkf8mklj" w:id="20"/>
      <w:bookmarkEnd w:id="20"/>
      <w:r w:rsidDel="00000000" w:rsidR="00000000" w:rsidRPr="00000000">
        <w:rPr>
          <w:rtl w:val="0"/>
        </w:rPr>
        <w:t xml:space="preserve">d. Procedures for data collection</w:t>
      </w:r>
    </w:p>
    <w:p w:rsidR="00000000" w:rsidDel="00000000" w:rsidP="00000000" w:rsidRDefault="00000000" w:rsidRPr="00000000" w14:paraId="000001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will occur over three sequential phases, combining structured survey tools, participatory activities, and qualitative methods to ensure depth and breadth in capturing the learning and well-being experiences of participants.</w:t>
      </w:r>
    </w:p>
    <w:p w:rsidR="00000000" w:rsidDel="00000000" w:rsidP="00000000" w:rsidRDefault="00000000" w:rsidRPr="00000000" w14:paraId="0000014D">
      <w:pPr>
        <w:pStyle w:val="Heading4"/>
        <w:rPr>
          <w:sz w:val="24"/>
          <w:szCs w:val="24"/>
        </w:rPr>
      </w:pPr>
      <w:bookmarkStart w:colFirst="0" w:colLast="0" w:name="_heading=h.k6x9r3lyrmaa" w:id="21"/>
      <w:bookmarkEnd w:id="21"/>
      <w:r w:rsidDel="00000000" w:rsidR="00000000" w:rsidRPr="00000000">
        <w:rPr>
          <w:sz w:val="24"/>
          <w:szCs w:val="24"/>
          <w:rtl w:val="0"/>
        </w:rPr>
        <w:t xml:space="preserve">Phase 1: Preparation and Baseline Assessment</w:t>
      </w:r>
    </w:p>
    <w:p w:rsidR="00000000" w:rsidDel="00000000" w:rsidP="00000000" w:rsidRDefault="00000000" w:rsidRPr="00000000" w14:paraId="0000014E">
      <w:pPr>
        <w:numPr>
          <w:ilvl w:val="0"/>
          <w:numId w:val="1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securing ethical approval and institutional access, recruitment will begin using purposive and snowball sampling techniques.</w:t>
      </w:r>
    </w:p>
    <w:p w:rsidR="00000000" w:rsidDel="00000000" w:rsidP="00000000" w:rsidRDefault="00000000" w:rsidRPr="00000000" w14:paraId="0000014F">
      <w:pPr>
        <w:numPr>
          <w:ilvl w:val="0"/>
          <w:numId w:val="1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complete a baseline demographic and digital profile survey to document age, gender, academic role, and familiarity with digital platforms.</w:t>
      </w:r>
    </w:p>
    <w:p w:rsidR="00000000" w:rsidDel="00000000" w:rsidP="00000000" w:rsidRDefault="00000000" w:rsidRPr="00000000" w14:paraId="00000150">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participants will also complete the GRACE Index (pre-test) to assess initial levels of well-being across four domains: Healthy, Resourceful, Active, and Enriching.</w:t>
      </w:r>
    </w:p>
    <w:p w:rsidR="00000000" w:rsidDel="00000000" w:rsidP="00000000" w:rsidRDefault="00000000" w:rsidRPr="00000000" w14:paraId="00000151">
      <w:pPr>
        <w:pStyle w:val="Heading4"/>
        <w:rPr>
          <w:sz w:val="24"/>
          <w:szCs w:val="24"/>
        </w:rPr>
      </w:pPr>
      <w:bookmarkStart w:colFirst="0" w:colLast="0" w:name="_heading=h.kam0xv829bhy" w:id="22"/>
      <w:bookmarkEnd w:id="22"/>
      <w:r w:rsidDel="00000000" w:rsidR="00000000" w:rsidRPr="00000000">
        <w:rPr>
          <w:sz w:val="24"/>
          <w:szCs w:val="24"/>
          <w:rtl w:val="0"/>
        </w:rPr>
        <w:t xml:space="preserve">Phase 2: Intervention and Storytelling Process</w:t>
      </w:r>
    </w:p>
    <w:p w:rsidR="00000000" w:rsidDel="00000000" w:rsidP="00000000" w:rsidRDefault="00000000" w:rsidRPr="00000000" w14:paraId="00000152">
      <w:pPr>
        <w:numPr>
          <w:ilvl w:val="0"/>
          <w:numId w:val="1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will engage in a 6–8 week digital storytelling program, co-designed using heutagogical principles. Activities include:</w:t>
      </w:r>
    </w:p>
    <w:p w:rsidR="00000000" w:rsidDel="00000000" w:rsidP="00000000" w:rsidRDefault="00000000" w:rsidRPr="00000000" w14:paraId="00000153">
      <w:pPr>
        <w:numPr>
          <w:ilvl w:val="1"/>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Introductory sessions on narrative development and digital tools (e.g., video editing apps, social media usage)</w:t>
      </w:r>
    </w:p>
    <w:p w:rsidR="00000000" w:rsidDel="00000000" w:rsidP="00000000" w:rsidRDefault="00000000" w:rsidRPr="00000000" w14:paraId="00000154">
      <w:pPr>
        <w:numPr>
          <w:ilvl w:val="1"/>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journaling throughout the process to capture learning moments and emotional responses</w:t>
      </w:r>
    </w:p>
    <w:p w:rsidR="00000000" w:rsidDel="00000000" w:rsidP="00000000" w:rsidRDefault="00000000" w:rsidRPr="00000000" w14:paraId="00000155">
      <w:pPr>
        <w:numPr>
          <w:ilvl w:val="1"/>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Creation of personal digital stories using multimedia formats, guided by thematic prompts aligned with GRACE domains</w:t>
      </w:r>
    </w:p>
    <w:p w:rsidR="00000000" w:rsidDel="00000000" w:rsidP="00000000" w:rsidRDefault="00000000" w:rsidRPr="00000000" w14:paraId="00000156">
      <w:pPr>
        <w:numPr>
          <w:ilvl w:val="1"/>
          <w:numId w:val="15"/>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Opportunities for intergenerational sharing within campus communities (e.g., story circles or online showcases)</w:t>
      </w:r>
    </w:p>
    <w:p w:rsidR="00000000" w:rsidDel="00000000" w:rsidP="00000000" w:rsidRDefault="00000000" w:rsidRPr="00000000" w14:paraId="00000157">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Facilitators will provide light-touch guidance, allowing participants autonomy over content, style, and platform of their stories.</w:t>
      </w:r>
    </w:p>
    <w:p w:rsidR="00000000" w:rsidDel="00000000" w:rsidP="00000000" w:rsidRDefault="00000000" w:rsidRPr="00000000" w14:paraId="00000158">
      <w:pPr>
        <w:pStyle w:val="Heading4"/>
        <w:rPr>
          <w:sz w:val="24"/>
          <w:szCs w:val="24"/>
        </w:rPr>
      </w:pPr>
      <w:bookmarkStart w:colFirst="0" w:colLast="0" w:name="_heading=h.nllov7ko2l8g" w:id="23"/>
      <w:bookmarkEnd w:id="23"/>
      <w:r w:rsidDel="00000000" w:rsidR="00000000" w:rsidRPr="00000000">
        <w:rPr>
          <w:sz w:val="24"/>
          <w:szCs w:val="24"/>
          <w:rtl w:val="0"/>
        </w:rPr>
        <w:t xml:space="preserve">Phase 3: Post-Intervention Data Collection</w:t>
      </w:r>
    </w:p>
    <w:p w:rsidR="00000000" w:rsidDel="00000000" w:rsidP="00000000" w:rsidRDefault="00000000" w:rsidRPr="00000000" w14:paraId="00000159">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their digital stories, participants will retake the GRACE Index (post-test) to measure any changes in perceived well-being.</w:t>
      </w:r>
    </w:p>
    <w:p w:rsidR="00000000" w:rsidDel="00000000" w:rsidP="00000000" w:rsidRDefault="00000000" w:rsidRPr="00000000" w14:paraId="0000015A">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In-depth semi-structured interviews will be conducted with a representative subset of participants (20–30 individuals), exploring their reflections, perceived impacts, and learning experiences.</w:t>
      </w:r>
    </w:p>
    <w:p w:rsidR="00000000" w:rsidDel="00000000" w:rsidP="00000000" w:rsidRDefault="00000000" w:rsidRPr="00000000" w14:paraId="0000015B">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groups will be held with mixed-age participants to assess intergenerational engagement outcomes and collective responses to the storytelling experience.</w:t>
      </w:r>
    </w:p>
    <w:p w:rsidR="00000000" w:rsidDel="00000000" w:rsidP="00000000" w:rsidRDefault="00000000" w:rsidRPr="00000000" w14:paraId="0000015C">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 digital stories will be collected and analyzed as qualitative artifacts.</w:t>
      </w:r>
    </w:p>
    <w:p w:rsidR="00000000" w:rsidDel="00000000" w:rsidP="00000000" w:rsidRDefault="00000000" w:rsidRPr="00000000" w14:paraId="0000015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journals will be reviewed to trace changes in self-perception, emotional states, and learner agency over time.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data collection procedures will follow ethical standards of confidentiality, informed consent, and participant agency. Digital recordings (interviews, stories) will be securely stored and anonymized prior to transcription and analysis.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3"/>
        <w:spacing w:before="0" w:lineRule="auto"/>
        <w:ind w:left="0" w:firstLine="0"/>
        <w:rPr>
          <w:u w:val="none"/>
        </w:rPr>
      </w:pPr>
      <w:bookmarkStart w:colFirst="0" w:colLast="0" w:name="_heading=h.3er7jre5whpx" w:id="24"/>
      <w:bookmarkEnd w:id="24"/>
      <w:r w:rsidDel="00000000" w:rsidR="00000000" w:rsidRPr="00000000">
        <w:rPr>
          <w:rtl w:val="0"/>
        </w:rPr>
        <w:t xml:space="preserve">e. Procedures for data analysis.</w:t>
      </w:r>
      <w:r w:rsidDel="00000000" w:rsidR="00000000" w:rsidRPr="00000000">
        <w:rPr>
          <w:rtl w:val="0"/>
        </w:rPr>
      </w:r>
    </w:p>
    <w:p w:rsidR="00000000" w:rsidDel="00000000" w:rsidP="00000000" w:rsidRDefault="00000000" w:rsidRPr="00000000" w14:paraId="00000161">
      <w:pPr>
        <w:pStyle w:val="Heading2"/>
        <w:spacing w:after="240" w:before="240" w:lineRule="auto"/>
        <w:jc w:val="both"/>
        <w:rPr>
          <w:rFonts w:ascii="Times New Roman" w:cs="Times New Roman" w:eastAsia="Times New Roman" w:hAnsi="Times New Roman"/>
          <w:color w:val="000000"/>
        </w:rPr>
      </w:pPr>
      <w:bookmarkStart w:colFirst="0" w:colLast="0" w:name="_heading=h.pk6yxo9pyux" w:id="25"/>
      <w:bookmarkEnd w:id="25"/>
      <w:r w:rsidDel="00000000" w:rsidR="00000000" w:rsidRPr="00000000">
        <w:rPr>
          <w:rFonts w:ascii="Times New Roman" w:cs="Times New Roman" w:eastAsia="Times New Roman" w:hAnsi="Times New Roman"/>
          <w:color w:val="000000"/>
          <w:rtl w:val="0"/>
        </w:rPr>
        <w:t xml:space="preserve">This study will use a </w:t>
      </w:r>
      <w:r w:rsidDel="00000000" w:rsidR="00000000" w:rsidRPr="00000000">
        <w:rPr>
          <w:rFonts w:ascii="Times New Roman" w:cs="Times New Roman" w:eastAsia="Times New Roman" w:hAnsi="Times New Roman"/>
          <w:b w:val="1"/>
          <w:bCs w:val="1"/>
          <w:color w:val="000000"/>
          <w:rtl w:val="0"/>
        </w:rPr>
        <w:t xml:space="preserve">convergent mixed-methods analysis</w:t>
      </w:r>
      <w:r w:rsidDel="00000000" w:rsidR="00000000" w:rsidRPr="00000000">
        <w:rPr>
          <w:rFonts w:ascii="Times New Roman" w:cs="Times New Roman" w:eastAsia="Times New Roman" w:hAnsi="Times New Roman"/>
          <w:color w:val="000000"/>
          <w:rtl w:val="0"/>
        </w:rPr>
        <w:t xml:space="preserve"> approach, integrating quantitative and qualitative data to generate a comprehensive understanding of how digital storytelling and self-determined learning influence well-being, learner agency, and social connectedness among middle-aged and older participants.</w:t>
      </w:r>
    </w:p>
    <w:p w:rsidR="00000000" w:rsidDel="00000000" w:rsidP="00000000" w:rsidRDefault="00000000" w:rsidRPr="00000000" w14:paraId="00000162">
      <w:pPr>
        <w:pStyle w:val="Heading4"/>
        <w:numPr>
          <w:ilvl w:val="0"/>
          <w:numId w:val="18"/>
        </w:numPr>
        <w:ind w:left="360" w:hanging="360"/>
        <w:rPr>
          <w:sz w:val="24"/>
          <w:szCs w:val="24"/>
        </w:rPr>
      </w:pPr>
      <w:bookmarkStart w:colFirst="0" w:colLast="0" w:name="_heading=h.dpuvae7x80s3" w:id="26"/>
      <w:bookmarkEnd w:id="26"/>
      <w:r w:rsidDel="00000000" w:rsidR="00000000" w:rsidRPr="00000000">
        <w:rPr>
          <w:sz w:val="24"/>
          <w:szCs w:val="24"/>
          <w:rtl w:val="0"/>
        </w:rPr>
        <w:t xml:space="preserve">Quantitative Data Analysis</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data will be collected through the </w:t>
      </w:r>
      <w:r w:rsidDel="00000000" w:rsidR="00000000" w:rsidRPr="00000000">
        <w:rPr>
          <w:rFonts w:ascii="Times New Roman" w:cs="Times New Roman" w:eastAsia="Times New Roman" w:hAnsi="Times New Roman"/>
          <w:b w:val="1"/>
          <w:bCs w:val="1"/>
          <w:sz w:val="24"/>
          <w:szCs w:val="24"/>
          <w:rtl w:val="0"/>
        </w:rPr>
        <w:t xml:space="preserve">GRACE Index</w:t>
      </w:r>
      <w:r w:rsidDel="00000000" w:rsidR="00000000" w:rsidRPr="00000000">
        <w:rPr>
          <w:rFonts w:ascii="Times New Roman" w:cs="Times New Roman" w:eastAsia="Times New Roman" w:hAnsi="Times New Roman"/>
          <w:sz w:val="24"/>
          <w:szCs w:val="24"/>
          <w:rtl w:val="0"/>
        </w:rPr>
        <w:t xml:space="preserve">, administered at baseline and post-intervention. The analysis will include:</w:t>
      </w:r>
    </w:p>
    <w:p w:rsidR="00000000" w:rsidDel="00000000" w:rsidP="00000000" w:rsidRDefault="00000000" w:rsidRPr="00000000" w14:paraId="00000164">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Descriptive statistics</w:t>
      </w:r>
      <w:r w:rsidDel="00000000" w:rsidR="00000000" w:rsidRPr="00000000">
        <w:rPr>
          <w:rFonts w:ascii="Times New Roman" w:cs="Times New Roman" w:eastAsia="Times New Roman" w:hAnsi="Times New Roman"/>
          <w:sz w:val="24"/>
          <w:szCs w:val="24"/>
          <w:rtl w:val="0"/>
        </w:rPr>
        <w:t xml:space="preserve"> (mean, standard deviation, frequency) to summarize participant characteristics and initial well-being levels.</w:t>
        <w:br w:type="textWrapping"/>
      </w:r>
    </w:p>
    <w:p w:rsidR="00000000" w:rsidDel="00000000" w:rsidP="00000000" w:rsidRDefault="00000000" w:rsidRPr="00000000" w14:paraId="00000165">
      <w:pPr>
        <w:numPr>
          <w:ilvl w:val="0"/>
          <w:numId w:val="1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Paired sample t-tests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non-parametric equivalents</w:t>
      </w:r>
      <w:r w:rsidDel="00000000" w:rsidR="00000000" w:rsidRPr="00000000">
        <w:rPr>
          <w:rFonts w:ascii="Times New Roman" w:cs="Times New Roman" w:eastAsia="Times New Roman" w:hAnsi="Times New Roman"/>
          <w:sz w:val="24"/>
          <w:szCs w:val="24"/>
          <w:rtl w:val="0"/>
        </w:rPr>
        <w:t xml:space="preserve"> to measure changes across the four GRACE domains (Healthy, Resourceful, Active, Enriching) pre- and post-intervention.</w:t>
        <w:br w:type="textWrapping"/>
      </w:r>
    </w:p>
    <w:p w:rsidR="00000000" w:rsidDel="00000000" w:rsidP="00000000" w:rsidRDefault="00000000" w:rsidRPr="00000000" w14:paraId="00000166">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Exploratory subgroup analysis</w:t>
      </w:r>
      <w:r w:rsidDel="00000000" w:rsidR="00000000" w:rsidRPr="00000000">
        <w:rPr>
          <w:rFonts w:ascii="Times New Roman" w:cs="Times New Roman" w:eastAsia="Times New Roman" w:hAnsi="Times New Roman"/>
          <w:sz w:val="24"/>
          <w:szCs w:val="24"/>
          <w:rtl w:val="0"/>
        </w:rPr>
        <w:t xml:space="preserve"> (e.g., by age group or academic role) to identify variation in outcomes across participant categories.</w:t>
        <w:br w:type="textWrapping"/>
      </w:r>
    </w:p>
    <w:p w:rsidR="00000000" w:rsidDel="00000000" w:rsidP="00000000" w:rsidRDefault="00000000" w:rsidRPr="00000000" w14:paraId="000001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will be analyzed using statistical software such as </w:t>
      </w:r>
      <w:r w:rsidDel="00000000" w:rsidR="00000000" w:rsidRPr="00000000">
        <w:rPr>
          <w:rFonts w:ascii="Times New Roman" w:cs="Times New Roman" w:eastAsia="Times New Roman" w:hAnsi="Times New Roman"/>
          <w:b w:val="1"/>
          <w:bCs w:val="1"/>
          <w:sz w:val="24"/>
          <w:szCs w:val="24"/>
          <w:rtl w:val="0"/>
        </w:rPr>
        <w:t xml:space="preserve">SPSS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 or Phython</w:t>
      </w:r>
      <w:r w:rsidDel="00000000" w:rsidR="00000000" w:rsidRPr="00000000">
        <w:rPr>
          <w:rFonts w:ascii="Times New Roman" w:cs="Times New Roman" w:eastAsia="Times New Roman" w:hAnsi="Times New Roman"/>
          <w:sz w:val="24"/>
          <w:szCs w:val="24"/>
          <w:rtl w:val="0"/>
        </w:rPr>
        <w:t xml:space="preserve">, and results will inform the interpretation of participant experiences and the broader efficacy of the intervention.</w:t>
      </w:r>
    </w:p>
    <w:p w:rsidR="00000000" w:rsidDel="00000000" w:rsidP="00000000" w:rsidRDefault="00000000" w:rsidRPr="00000000" w14:paraId="00000168">
      <w:pPr>
        <w:pStyle w:val="Heading4"/>
        <w:numPr>
          <w:ilvl w:val="0"/>
          <w:numId w:val="18"/>
        </w:numPr>
        <w:spacing w:after="40" w:before="240" w:lineRule="auto"/>
        <w:ind w:left="360" w:hanging="360"/>
        <w:rPr>
          <w:sz w:val="24"/>
          <w:szCs w:val="24"/>
          <w:u w:val="none"/>
        </w:rPr>
      </w:pPr>
      <w:bookmarkStart w:colFirst="0" w:colLast="0" w:name="_heading=h.y77qc1hqpkys" w:id="27"/>
      <w:bookmarkEnd w:id="27"/>
      <w:r w:rsidDel="00000000" w:rsidR="00000000" w:rsidRPr="00000000">
        <w:rPr>
          <w:sz w:val="24"/>
          <w:szCs w:val="24"/>
          <w:rtl w:val="0"/>
        </w:rPr>
        <w:t xml:space="preserve">Qualitative Data Analysis</w:t>
      </w:r>
    </w:p>
    <w:p w:rsidR="00000000" w:rsidDel="00000000" w:rsidP="00000000" w:rsidRDefault="00000000" w:rsidRPr="00000000" w14:paraId="000001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data will be drawn from four main sources: </w:t>
      </w:r>
      <w:r w:rsidDel="00000000" w:rsidR="00000000" w:rsidRPr="00000000">
        <w:rPr>
          <w:rFonts w:ascii="Times New Roman" w:cs="Times New Roman" w:eastAsia="Times New Roman" w:hAnsi="Times New Roman"/>
          <w:b w:val="1"/>
          <w:bCs w:val="1"/>
          <w:sz w:val="24"/>
          <w:szCs w:val="24"/>
          <w:rtl w:val="0"/>
        </w:rPr>
        <w:t xml:space="preserve">digital storytelling artifacts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interviews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focus groups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reflective journals</w:t>
      </w:r>
      <w:r w:rsidDel="00000000" w:rsidR="00000000" w:rsidRPr="00000000">
        <w:rPr>
          <w:rFonts w:ascii="Times New Roman" w:cs="Times New Roman" w:eastAsia="Times New Roman" w:hAnsi="Times New Roman"/>
          <w:sz w:val="24"/>
          <w:szCs w:val="24"/>
          <w:rtl w:val="0"/>
        </w:rPr>
        <w:t xml:space="preserve">. Thematic analysis will be conducted using the following procedures:</w:t>
      </w:r>
    </w:p>
    <w:p w:rsidR="00000000" w:rsidDel="00000000" w:rsidP="00000000" w:rsidRDefault="00000000" w:rsidRPr="00000000" w14:paraId="0000016A">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Initial open coding</w:t>
      </w:r>
      <w:r w:rsidDel="00000000" w:rsidR="00000000" w:rsidRPr="00000000">
        <w:rPr>
          <w:rFonts w:ascii="Times New Roman" w:cs="Times New Roman" w:eastAsia="Times New Roman" w:hAnsi="Times New Roman"/>
          <w:sz w:val="24"/>
          <w:szCs w:val="24"/>
          <w:rtl w:val="0"/>
        </w:rPr>
        <w:t xml:space="preserve"> to identify emergent themes related to identity, agency, intergenerational connection, emotional well-being, and learning experiences.</w:t>
      </w:r>
    </w:p>
    <w:p w:rsidR="00000000" w:rsidDel="00000000" w:rsidP="00000000" w:rsidRDefault="00000000" w:rsidRPr="00000000" w14:paraId="0000016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Axial coding</w:t>
      </w:r>
      <w:r w:rsidDel="00000000" w:rsidR="00000000" w:rsidRPr="00000000">
        <w:rPr>
          <w:rFonts w:ascii="Times New Roman" w:cs="Times New Roman" w:eastAsia="Times New Roman" w:hAnsi="Times New Roman"/>
          <w:sz w:val="24"/>
          <w:szCs w:val="24"/>
          <w:rtl w:val="0"/>
        </w:rPr>
        <w:t xml:space="preserve"> to examine relationships across themes and map them to the GRACE model domains and heutagogical principles.</w:t>
      </w:r>
    </w:p>
    <w:p w:rsidR="00000000" w:rsidDel="00000000" w:rsidP="00000000" w:rsidRDefault="00000000" w:rsidRPr="00000000" w14:paraId="0000016C">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Narrative analysis</w:t>
      </w:r>
      <w:r w:rsidDel="00000000" w:rsidR="00000000" w:rsidRPr="00000000">
        <w:rPr>
          <w:rFonts w:ascii="Times New Roman" w:cs="Times New Roman" w:eastAsia="Times New Roman" w:hAnsi="Times New Roman"/>
          <w:sz w:val="24"/>
          <w:szCs w:val="24"/>
          <w:rtl w:val="0"/>
        </w:rPr>
        <w:t xml:space="preserve"> of digital stories to explore how participants construct meaning, express agency, and represent personal transformations over time.</w:t>
        <w:br w:type="textWrapping"/>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Transcripts and written texts will be coded using qualitative analysis software such as </w:t>
      </w:r>
      <w:r w:rsidDel="00000000" w:rsidR="00000000" w:rsidRPr="00000000">
        <w:rPr>
          <w:rFonts w:ascii="Times New Roman" w:cs="Times New Roman" w:eastAsia="Times New Roman" w:hAnsi="Times New Roman"/>
          <w:b w:val="1"/>
          <w:bCs w:val="1"/>
          <w:sz w:val="24"/>
          <w:szCs w:val="24"/>
          <w:rtl w:val="0"/>
        </w:rPr>
        <w:t xml:space="preserve">NVivo</w:t>
      </w:r>
      <w:r w:rsidDel="00000000" w:rsidR="00000000" w:rsidRPr="00000000">
        <w:rPr>
          <w:rFonts w:ascii="Times New Roman" w:cs="Times New Roman" w:eastAsia="Times New Roman" w:hAnsi="Times New Roman"/>
          <w:sz w:val="24"/>
          <w:szCs w:val="24"/>
          <w:rtl w:val="0"/>
        </w:rPr>
        <w:t xml:space="preserve">. Two independent coders will review the data to enhance reliability and minimize bias. Discrepancies in coding will be resolved through discussion and consensus.</w:t>
      </w:r>
    </w:p>
    <w:p w:rsidR="00000000" w:rsidDel="00000000" w:rsidP="00000000" w:rsidRDefault="00000000" w:rsidRPr="00000000" w14:paraId="0000016E">
      <w:pPr>
        <w:pStyle w:val="Heading4"/>
        <w:spacing w:after="40" w:before="240" w:lineRule="auto"/>
        <w:rPr>
          <w:sz w:val="24"/>
          <w:szCs w:val="24"/>
        </w:rPr>
      </w:pPr>
      <w:bookmarkStart w:colFirst="0" w:colLast="0" w:name="_heading=h.emrd2danvtqe" w:id="28"/>
      <w:bookmarkEnd w:id="28"/>
      <w:r w:rsidDel="00000000" w:rsidR="00000000" w:rsidRPr="00000000">
        <w:rPr>
          <w:sz w:val="24"/>
          <w:szCs w:val="24"/>
          <w:rtl w:val="0"/>
        </w:rPr>
        <w:t xml:space="preserve">3. </w:t>
      </w:r>
      <w:r w:rsidDel="00000000" w:rsidR="00000000" w:rsidRPr="00000000">
        <w:rPr>
          <w:sz w:val="24"/>
          <w:szCs w:val="24"/>
          <w:rtl w:val="0"/>
        </w:rPr>
        <w:t xml:space="preserve">Integration of Findings</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 and qualitative data will be integrated during the interpretation stage to offer a </w:t>
      </w:r>
      <w:r w:rsidDel="00000000" w:rsidR="00000000" w:rsidRPr="00000000">
        <w:rPr>
          <w:rFonts w:ascii="Times New Roman" w:cs="Times New Roman" w:eastAsia="Times New Roman" w:hAnsi="Times New Roman"/>
          <w:b w:val="1"/>
          <w:bCs w:val="1"/>
          <w:sz w:val="24"/>
          <w:szCs w:val="24"/>
          <w:rtl w:val="0"/>
        </w:rPr>
        <w:t xml:space="preserve">rich, multi-dimensional picture</w:t>
      </w:r>
      <w:r w:rsidDel="00000000" w:rsidR="00000000" w:rsidRPr="00000000">
        <w:rPr>
          <w:rFonts w:ascii="Times New Roman" w:cs="Times New Roman" w:eastAsia="Times New Roman" w:hAnsi="Times New Roman"/>
          <w:sz w:val="24"/>
          <w:szCs w:val="24"/>
          <w:rtl w:val="0"/>
        </w:rPr>
        <w:t xml:space="preserve"> of participant outcomes. Triangulation will be used to validate findings across data sources, identify consistencies or contradictions, and derive actionable insights for future implementation.</w:t>
      </w:r>
    </w:p>
    <w:p w:rsidR="00000000" w:rsidDel="00000000" w:rsidP="00000000" w:rsidRDefault="00000000" w:rsidRPr="00000000" w14:paraId="00000170">
      <w:pPr>
        <w:pStyle w:val="Heading2"/>
        <w:spacing w:after="240" w:before="240" w:lineRule="auto"/>
        <w:jc w:val="both"/>
        <w:rPr>
          <w:rFonts w:ascii="Times New Roman" w:cs="Times New Roman" w:eastAsia="Times New Roman" w:hAnsi="Times New Roman"/>
          <w:color w:val="000000"/>
        </w:rPr>
      </w:pPr>
      <w:bookmarkStart w:colFirst="0" w:colLast="0" w:name="_heading=h.nhh1lemdz4zf" w:id="29"/>
      <w:bookmarkEnd w:id="29"/>
      <w:r w:rsidDel="00000000" w:rsidR="00000000" w:rsidRPr="00000000">
        <w:rPr>
          <w:rFonts w:ascii="Times New Roman" w:cs="Times New Roman" w:eastAsia="Times New Roman" w:hAnsi="Times New Roman"/>
          <w:color w:val="000000"/>
          <w:rtl w:val="0"/>
        </w:rPr>
        <w:t xml:space="preserve">This analytic strategy ensures that both </w:t>
      </w:r>
      <w:r w:rsidDel="00000000" w:rsidR="00000000" w:rsidRPr="00000000">
        <w:rPr>
          <w:rFonts w:ascii="Times New Roman" w:cs="Times New Roman" w:eastAsia="Times New Roman" w:hAnsi="Times New Roman"/>
          <w:b w:val="1"/>
          <w:bCs w:val="1"/>
          <w:color w:val="000000"/>
          <w:rtl w:val="0"/>
        </w:rPr>
        <w:t xml:space="preserve">measurable changes</w:t>
      </w:r>
      <w:r w:rsidDel="00000000" w:rsidR="00000000" w:rsidRPr="00000000">
        <w:rPr>
          <w:rFonts w:ascii="Times New Roman" w:cs="Times New Roman" w:eastAsia="Times New Roman" w:hAnsi="Times New Roman"/>
          <w:color w:val="000000"/>
          <w:rtl w:val="0"/>
        </w:rPr>
        <w:t xml:space="preserve"> and </w:t>
      </w:r>
      <w:r w:rsidDel="00000000" w:rsidR="00000000" w:rsidRPr="00000000">
        <w:rPr>
          <w:rFonts w:ascii="Times New Roman" w:cs="Times New Roman" w:eastAsia="Times New Roman" w:hAnsi="Times New Roman"/>
          <w:b w:val="1"/>
          <w:bCs w:val="1"/>
          <w:color w:val="000000"/>
          <w:rtl w:val="0"/>
        </w:rPr>
        <w:t xml:space="preserve">deep personal experiences</w:t>
      </w:r>
      <w:r w:rsidDel="00000000" w:rsidR="00000000" w:rsidRPr="00000000">
        <w:rPr>
          <w:rFonts w:ascii="Times New Roman" w:cs="Times New Roman" w:eastAsia="Times New Roman" w:hAnsi="Times New Roman"/>
          <w:color w:val="000000"/>
          <w:rtl w:val="0"/>
        </w:rPr>
        <w:t xml:space="preserve"> are captured and contextualized, consistent with the values of participatory, learner-centered research in later life education.</w:t>
      </w:r>
    </w:p>
    <w:p w:rsidR="00000000" w:rsidDel="00000000" w:rsidP="00000000" w:rsidRDefault="00000000" w:rsidRPr="00000000" w14:paraId="00000171">
      <w:pPr>
        <w:spacing w:after="240" w:before="240" w:lineRule="auto"/>
        <w:rPr>
          <w:b w:val="1"/>
          <w:bCs w:val="1"/>
          <w:sz w:val="24"/>
          <w:szCs w:val="24"/>
        </w:rPr>
      </w:pPr>
      <w:r w:rsidDel="00000000" w:rsidR="00000000" w:rsidRPr="00000000">
        <w:rPr>
          <w:b w:val="1"/>
          <w:bCs w:val="1"/>
          <w:sz w:val="24"/>
          <w:szCs w:val="24"/>
          <w:rtl w:val="0"/>
        </w:rPr>
        <w:t xml:space="preserve">Table 2. Data Analysis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143089872387"/>
        <w:gridCol w:w="1917.1431984795006"/>
        <w:gridCol w:w="1904.6942166711924"/>
        <w:gridCol w:w="1543.6737442302474"/>
        <w:gridCol w:w="2352.8575617702963"/>
        <w:tblGridChange w:id="0">
          <w:tblGrid>
            <w:gridCol w:w="1307.143089872387"/>
            <w:gridCol w:w="1917.1431984795006"/>
            <w:gridCol w:w="1904.6942166711924"/>
            <w:gridCol w:w="1543.6737442302474"/>
            <w:gridCol w:w="2352.8575617702963"/>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276" w:lineRule="auto"/>
              <w:ind w:left="1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276" w:lineRule="auto"/>
              <w:ind w:left="1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Sources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276" w:lineRule="auto"/>
              <w:ind w:left="1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Analysis Methods</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5">
            <w:pPr>
              <w:spacing w:before="240" w:line="276" w:lineRule="auto"/>
              <w:ind w:left="1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Tools/Software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276" w:lineRule="auto"/>
              <w:ind w:left="12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Purpose</w:t>
            </w:r>
          </w:p>
        </w:tc>
      </w:tr>
      <w:tr>
        <w:trPr>
          <w:cantSplit w:val="0"/>
          <w:trHeight w:val="9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Quantitative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GRACE Index (pre and post intervention)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Descriptive statistics, Paired t-tests, Subgroup analysis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SPSS, R, Python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B">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Measure changes in well-being and domain scores</w:t>
            </w:r>
          </w:p>
        </w:tc>
      </w:tr>
      <w:tr>
        <w:trPr>
          <w:cantSplit w:val="0"/>
          <w:trHeight w:val="11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Qualitative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Digital storytelling artifacts, Interviews, Focus groups, Reflective journals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E">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Thematic analysis (open coding, axial coding), Narrative analysis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7F">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NVivo (or similar qualitative analysis tool)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0">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Explore experiences, identity, agency, transformation</w:t>
            </w:r>
          </w:p>
        </w:tc>
      </w:tr>
      <w:tr>
        <w:trPr>
          <w:cantSplit w:val="0"/>
          <w:trHeight w:val="11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Integrated Analysis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2">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Results from quantitative and qualitative analyses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Triangulation, Comparative interpretation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Manual synthesis, visual and thematic comparison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85">
            <w:pPr>
              <w:spacing w:before="240" w:line="276" w:lineRule="auto"/>
              <w:ind w:left="1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 comprehensive understanding, validate findings</w:t>
            </w:r>
          </w:p>
        </w:tc>
      </w:tr>
    </w:tbl>
    <w:p w:rsidR="00000000" w:rsidDel="00000000" w:rsidP="00000000" w:rsidRDefault="00000000" w:rsidRPr="00000000" w14:paraId="00000186">
      <w:pPr>
        <w:pStyle w:val="Heading2"/>
        <w:rPr>
          <w:rFonts w:ascii="Times New Roman" w:cs="Times New Roman" w:eastAsia="Times New Roman" w:hAnsi="Times New Roman"/>
          <w:color w:val="000000"/>
        </w:rPr>
      </w:pPr>
      <w:bookmarkStart w:colFirst="0" w:colLast="0" w:name="_heading=h.qixgg4azwkba" w:id="30"/>
      <w:bookmarkEnd w:id="30"/>
      <w:r w:rsidDel="00000000" w:rsidR="00000000" w:rsidRPr="00000000">
        <w:rPr>
          <w:rtl w:val="0"/>
        </w:rPr>
      </w:r>
    </w:p>
    <w:p w:rsidR="00000000" w:rsidDel="00000000" w:rsidP="00000000" w:rsidRDefault="00000000" w:rsidRPr="00000000" w14:paraId="00000187">
      <w:pPr>
        <w:spacing w:after="240" w:before="240" w:lineRule="auto"/>
        <w:rPr>
          <w:b w:val="1"/>
          <w:bCs w:val="1"/>
          <w:sz w:val="24"/>
          <w:szCs w:val="24"/>
        </w:rPr>
      </w:pPr>
      <w:r w:rsidDel="00000000" w:rsidR="00000000" w:rsidRPr="00000000">
        <w:rPr>
          <w:b w:val="1"/>
          <w:bCs w:val="1"/>
          <w:sz w:val="24"/>
          <w:szCs w:val="24"/>
          <w:rtl w:val="0"/>
        </w:rPr>
        <w:t xml:space="preserve">Figure 1. Flow Data Analysis</w:t>
      </w:r>
    </w:p>
    <w:p w:rsidR="00000000" w:rsidDel="00000000" w:rsidP="00000000" w:rsidRDefault="00000000" w:rsidRPr="00000000" w14:paraId="00000188">
      <w:pPr>
        <w:spacing w:after="240" w:before="240" w:lineRule="auto"/>
        <w:rPr/>
      </w:pPr>
      <w:r w:rsidDel="00000000" w:rsidR="00000000" w:rsidRPr="00000000">
        <w:rPr/>
        <w:drawing>
          <wp:inline distB="114300" distT="114300" distL="114300" distR="114300">
            <wp:extent cx="5731200" cy="749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pStyle w:val="Heading2"/>
        <w:spacing w:after="240" w:lineRule="auto"/>
        <w:rPr/>
      </w:pPr>
      <w:bookmarkStart w:colFirst="0" w:colLast="0" w:name="_heading=h.cq9vkxlpr64i" w:id="31"/>
      <w:bookmarkEnd w:id="31"/>
      <w:r w:rsidDel="00000000" w:rsidR="00000000" w:rsidRPr="00000000">
        <w:rPr>
          <w:rtl w:val="0"/>
        </w:rPr>
        <w:t xml:space="preserve">Project Timeline</w:t>
      </w:r>
    </w:p>
    <w:p w:rsidR="00000000" w:rsidDel="00000000" w:rsidP="00000000" w:rsidRDefault="00000000" w:rsidRPr="00000000" w14:paraId="0000018B">
      <w:pPr>
        <w:rPr>
          <w:rFonts w:ascii="Arial" w:cs="Arial" w:eastAsia="Arial" w:hAnsi="Arial"/>
          <w:i w:val="1"/>
          <w:iCs w:val="1"/>
          <w:color w:val="212529"/>
          <w:sz w:val="21"/>
          <w:szCs w:val="21"/>
          <w:highlight w:val="yellow"/>
        </w:rPr>
      </w:pPr>
      <w:r w:rsidDel="00000000" w:rsidR="00000000" w:rsidRPr="00000000">
        <w:rPr>
          <w:rFonts w:ascii="Arial" w:cs="Arial" w:eastAsia="Arial" w:hAnsi="Arial"/>
          <w:i w:val="1"/>
          <w:iCs w:val="1"/>
          <w:color w:val="212529"/>
          <w:sz w:val="21"/>
          <w:szCs w:val="21"/>
          <w:highlight w:val="yellow"/>
          <w:rtl w:val="0"/>
        </w:rPr>
        <w:t xml:space="preserve">Dibuat di dalam file terpisah, saya buatkan wordnya bu dengan nama file Project Timeline.docx, jika da perubahan bisa ibu ubah, kemudian di save atau print menjadi pdf lalu diupload bu</w:t>
      </w:r>
      <w:r w:rsidDel="00000000" w:rsidR="00000000" w:rsidRPr="00000000">
        <w:rPr>
          <w:rtl w:val="0"/>
        </w:rPr>
      </w:r>
    </w:p>
    <w:p w:rsidR="00000000" w:rsidDel="00000000" w:rsidP="00000000" w:rsidRDefault="00000000" w:rsidRPr="00000000" w14:paraId="0000018C">
      <w:pPr>
        <w:rPr>
          <w:rFonts w:ascii="Arial" w:cs="Arial" w:eastAsia="Arial" w:hAnsi="Arial"/>
          <w:i w:val="1"/>
          <w:iCs w:val="1"/>
          <w:color w:val="212529"/>
          <w:sz w:val="21"/>
          <w:szCs w:val="21"/>
          <w:highlight w:val="white"/>
        </w:rPr>
      </w:pPr>
      <w:r w:rsidDel="00000000" w:rsidR="00000000" w:rsidRPr="00000000">
        <w:rPr>
          <w:rtl w:val="0"/>
        </w:rPr>
      </w:r>
    </w:p>
    <w:p w:rsidR="00000000" w:rsidDel="00000000" w:rsidP="00000000" w:rsidRDefault="00000000" w:rsidRPr="00000000" w14:paraId="0000018D">
      <w:pPr>
        <w:pStyle w:val="Heading2"/>
        <w:rPr>
          <w:rFonts w:ascii="Times New Roman" w:cs="Times New Roman" w:eastAsia="Times New Roman" w:hAnsi="Times New Roman"/>
        </w:rPr>
      </w:pPr>
      <w:bookmarkStart w:colFirst="0" w:colLast="0" w:name="_heading=h.9sagfb7co0ea" w:id="32"/>
      <w:bookmarkEnd w:id="32"/>
      <w:r w:rsidDel="00000000" w:rsidR="00000000" w:rsidRPr="00000000">
        <w:rPr>
          <w:rFonts w:ascii="Times New Roman" w:cs="Times New Roman" w:eastAsia="Times New Roman" w:hAnsi="Times New Roman"/>
          <w:rtl w:val="0"/>
        </w:rPr>
        <w:t xml:space="preserve">Project Team</w:t>
      </w:r>
    </w:p>
    <w:p w:rsidR="00000000" w:rsidDel="00000000" w:rsidP="00000000" w:rsidRDefault="00000000" w:rsidRPr="00000000" w14:paraId="0000018E">
      <w:pPr>
        <w:pStyle w:val="Heading2"/>
        <w:shd w:fill="ffffff" w:val="clear"/>
        <w:spacing w:after="240" w:before="240" w:line="276" w:lineRule="auto"/>
        <w:ind w:right="20"/>
        <w:rPr>
          <w:rFonts w:ascii="Arial" w:cs="Arial" w:eastAsia="Arial" w:hAnsi="Arial"/>
          <w:i w:val="1"/>
          <w:iCs w:val="1"/>
          <w:color w:val="212529"/>
          <w:sz w:val="21"/>
          <w:szCs w:val="21"/>
        </w:rPr>
      </w:pPr>
      <w:bookmarkStart w:colFirst="0" w:colLast="0" w:name="_heading=h.m6jdmtrodfvx" w:id="33"/>
      <w:bookmarkEnd w:id="33"/>
      <w:r w:rsidDel="00000000" w:rsidR="00000000" w:rsidRPr="00000000">
        <w:rPr>
          <w:rFonts w:ascii="Arial" w:cs="Arial" w:eastAsia="Arial" w:hAnsi="Arial"/>
          <w:i w:val="1"/>
          <w:iCs w:val="1"/>
          <w:color w:val="212529"/>
          <w:sz w:val="21"/>
          <w:szCs w:val="21"/>
          <w:rtl w:val="0"/>
        </w:rPr>
        <w:t xml:space="preserve">This document should not exceed 250 words and should be double–spaced in 12-point font. Note: this document will be reviewed along with the CV of the PI and any Co-PIs included on the application.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highlight w:val="yellow"/>
        </w:rPr>
      </w:pPr>
      <w:r w:rsidDel="00000000" w:rsidR="00000000" w:rsidRPr="00000000">
        <w:rPr>
          <w:highlight w:val="yellow"/>
          <w:rtl w:val="0"/>
        </w:rPr>
        <w:t xml:space="preserve">Saya buat dalam file terpisah utk project team 186 katan dan CV PI Ibu allya juga dalam file terpisah masih dalam format word ya bu.. terimaksih</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rFonts w:ascii="Times New Roman" w:cs="Times New Roman" w:eastAsia="Times New Roman" w:hAnsi="Times New Roman"/>
        </w:rPr>
      </w:pPr>
      <w:bookmarkStart w:colFirst="0" w:colLast="0" w:name="_heading=h.wl0qv7gvygsa" w:id="34"/>
      <w:bookmarkEnd w:id="34"/>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rsid w:val="00B85FDA"/>
  </w:style>
  <w:style w:type="paragraph" w:styleId="Heading1">
    <w:name w:val="heading 1"/>
    <w:basedOn w:val="Normal"/>
    <w:next w:val="Normal"/>
    <w:link w:val="Heading1Char"/>
    <w:uiPriority w:val="9"/>
    <w:qFormat w:val="1"/>
    <w:rsid w:val="005B0029"/>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5B0029"/>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4">
    <w:name w:val="heading 4"/>
    <w:basedOn w:val="Normal"/>
    <w:next w:val="Normal"/>
    <w:link w:val="Heading4Char"/>
    <w:uiPriority w:val="9"/>
    <w:semiHidden w:val="1"/>
    <w:unhideWhenUsed w:val="1"/>
    <w:qFormat w:val="1"/>
    <w:rsid w:val="008940BF"/>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uiPriority w:val="22"/>
    <w:qFormat w:val="1"/>
    <w:rsid w:val="00294FB8"/>
    <w:rPr>
      <w:b w:val="1"/>
      <w:bCs w:val="1"/>
    </w:rPr>
  </w:style>
  <w:style w:type="paragraph" w:styleId="ListParagraph">
    <w:name w:val="List Paragraph"/>
    <w:basedOn w:val="Normal"/>
    <w:uiPriority w:val="34"/>
    <w:qFormat w:val="1"/>
    <w:rsid w:val="00294FB8"/>
    <w:pPr>
      <w:ind w:left="720"/>
      <w:contextualSpacing w:val="1"/>
    </w:pPr>
  </w:style>
  <w:style w:type="character" w:styleId="Heading2Char" w:customStyle="1">
    <w:name w:val="Heading 2 Char"/>
    <w:basedOn w:val="DefaultParagraphFont"/>
    <w:link w:val="Heading2"/>
    <w:uiPriority w:val="9"/>
    <w:rsid w:val="005B0029"/>
    <w:rPr>
      <w:rFonts w:asciiTheme="majorHAnsi" w:cstheme="majorBidi" w:eastAsiaTheme="majorEastAsia" w:hAnsiTheme="majorHAnsi"/>
      <w:color w:val="2f5496" w:themeColor="accent1" w:themeShade="0000BF"/>
      <w:sz w:val="26"/>
      <w:szCs w:val="26"/>
    </w:rPr>
  </w:style>
  <w:style w:type="paragraph" w:styleId="Title">
    <w:name w:val="Title"/>
    <w:basedOn w:val="Normal"/>
    <w:next w:val="Normal"/>
    <w:link w:val="TitleChar"/>
    <w:uiPriority w:val="10"/>
    <w:qFormat w:val="1"/>
    <w:rsid w:val="005B0029"/>
    <w:pPr>
      <w:spacing w:after="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B0029"/>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5B0029"/>
    <w:rPr>
      <w:rFonts w:asciiTheme="majorHAnsi" w:cstheme="majorBidi" w:eastAsiaTheme="majorEastAsia" w:hAnsiTheme="majorHAnsi"/>
      <w:color w:val="2f5496" w:themeColor="accent1" w:themeShade="0000BF"/>
      <w:sz w:val="32"/>
      <w:szCs w:val="32"/>
    </w:rPr>
  </w:style>
  <w:style w:type="character" w:styleId="Heading4Char" w:customStyle="1">
    <w:name w:val="Heading 4 Char"/>
    <w:basedOn w:val="DefaultParagraphFont"/>
    <w:link w:val="Heading4"/>
    <w:uiPriority w:val="9"/>
    <w:semiHidden w:val="1"/>
    <w:rsid w:val="008940BF"/>
    <w:rPr>
      <w:rFonts w:asciiTheme="majorHAnsi" w:cstheme="majorBidi" w:eastAsiaTheme="majorEastAsia" w:hAnsiTheme="majorHAnsi"/>
      <w:i w:val="1"/>
      <w:iCs w:val="1"/>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Vibenb74qt6Y+WGvtbiTBdqdQ==">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2025-04-11T14:09:00Z</dcterms:created>
  <dc:creator>Tiur Gantini</dc:creator>
</cp:coreProperties>
</file>