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keepNext w:val="false"/>
        <w:pageBreakBefore w:val="false"/>
        <w:widowControl/>
        <w:pBdr/>
        <w:bidi w:val="0"/>
        <w:spacing w:lineRule="auto" w:line="274" w:before="0" w:after="120"/>
        <w:ind w:hanging="0" w:start="0" w:end="0"/>
        <w:jc w:val="start"/>
        <w:rPr>
          <w:rFonts w:ascii="Google Sans;sans-serif" w:hAnsi="Google Sans;sans-serif"/>
          <w:color w:val="1F1F1F"/>
        </w:rPr>
      </w:pPr>
      <w:r>
        <w:rPr>
          <w:rFonts w:ascii="Google Sans;sans-serif" w:hAnsi="Google Sans;sans-serif"/>
          <w:color w:val="1F1F1F"/>
        </w:rPr>
        <w:t>Evaluation and Strategic Publication Report for the TISE-VALORIZE Framework in Digital Engineering Education</w:t>
      </w:r>
    </w:p>
    <w:p>
      <w:pPr>
        <w:pStyle w:val="BodyText"/>
        <w:keepNext w:val="false"/>
        <w:pageBreakBefore w:val="false"/>
        <w:widowControl/>
        <w:pBdr/>
        <w:bidi w:val="0"/>
        <w:spacing w:lineRule="auto" w:line="274" w:before="0" w:after="0"/>
        <w:ind w:hanging="0" w:start="0" w:end="0"/>
        <w:jc w:val="start"/>
        <w:rPr>
          <w:rFonts w:ascii="Google Sans Text;sans-serif" w:hAnsi="Google Sans Text;sans-serif"/>
          <w:color w:val="1F1F1F"/>
        </w:rPr>
      </w:pPr>
      <w:bookmarkStart w:id="0" w:name="p-c_32c37600b701ae76_69209a07-934a-4381-"/>
      <w:bookmarkEnd w:id="0"/>
      <w:r>
        <w:rPr>
          <w:rFonts w:ascii="Google Sans Text;sans-serif" w:hAnsi="Google Sans Text;sans-serif"/>
          <w:color w:val="1F1F1F"/>
        </w:rPr>
        <w:t>The academic landscape of engineering education is currently undergoing a transformative shift from a pedagogical paradigm centered on content mastery to one prioritized around competency development and professional identity formation. The manuscript under review, "Orchestrating Value Co-Creation in Digital Education Using the TISE-VALORIZE Framework: From Knowing to Becoming," represents a rigorous attempt to address the widening gap between higher education outputs and industry requirements. This report provides an exhaustive expert review of the paper, evaluating its quartile standing, substantive framework, methodological integrity, and alignment with international publication standards.</w:t>
      </w:r>
    </w:p>
    <w:p>
      <w:pPr>
        <w:pStyle w:val="Heading2"/>
        <w:keepNext w:val="false"/>
        <w:pageBreakBefore w:val="false"/>
        <w:widowControl/>
        <w:pBdr/>
        <w:bidi w:val="0"/>
        <w:spacing w:lineRule="auto" w:line="274" w:before="0" w:after="120"/>
        <w:ind w:hanging="0" w:start="0" w:end="0"/>
        <w:jc w:val="start"/>
        <w:rPr>
          <w:rFonts w:ascii="Google Sans;sans-serif" w:hAnsi="Google Sans;sans-serif"/>
          <w:color w:val="1F1F1F"/>
        </w:rPr>
      </w:pPr>
      <w:r>
        <w:rPr>
          <w:rFonts w:ascii="Google Sans;sans-serif" w:hAnsi="Google Sans;sans-serif"/>
          <w:color w:val="1F1F1F"/>
        </w:rPr>
        <w:t>Institutional and Quartile Assessment</w:t>
      </w:r>
    </w:p>
    <w:p>
      <w:pPr>
        <w:pStyle w:val="BodyText"/>
        <w:keepNext w:val="false"/>
        <w:pageBreakBefore w:val="false"/>
        <w:widowControl/>
        <w:pBdr/>
        <w:bidi w:val="0"/>
        <w:spacing w:lineRule="auto" w:line="274" w:before="0" w:after="0"/>
        <w:ind w:hanging="0" w:start="0" w:end="0"/>
        <w:jc w:val="start"/>
        <w:rPr>
          <w:rFonts w:ascii="Google Sans Text;sans-serif" w:hAnsi="Google Sans Text;sans-serif"/>
          <w:color w:val="1F1F1F"/>
        </w:rPr>
      </w:pPr>
      <w:bookmarkStart w:id="1" w:name="p-c_32c37600b701ae76_69209a07-934a-43811"/>
      <w:bookmarkEnd w:id="1"/>
      <w:r>
        <w:rPr>
          <w:rFonts w:ascii="Google Sans Text;sans-serif" w:hAnsi="Google Sans Text;sans-serif"/>
          <w:color w:val="1F1F1F"/>
        </w:rPr>
        <w:t xml:space="preserve">To assess the quartile level of the manuscript based on international standards, it is necessary to evaluate its intended publication venue, </w:t>
      </w:r>
      <w:r>
        <w:rPr>
          <w:rFonts w:ascii="Google Sans Text;sans-serif" w:hAnsi="Google Sans Text;sans-serif"/>
          <w:i/>
          <w:color w:val="1F1F1F"/>
        </w:rPr>
        <w:t>Frontiers in Education</w:t>
      </w:r>
      <w:r>
        <w:rPr>
          <w:rFonts w:ascii="Google Sans Text;sans-serif" w:hAnsi="Google Sans Text;sans-serif"/>
          <w:color w:val="1F1F1F"/>
        </w:rPr>
        <w:t xml:space="preserve">, and its specific section, Digital Learning Innovations. A comprehensive analysis of bibliometric data from Scopus and Web of Science reveals that </w:t>
      </w:r>
      <w:r>
        <w:rPr>
          <w:rFonts w:ascii="Google Sans Text;sans-serif" w:hAnsi="Google Sans Text;sans-serif"/>
          <w:i/>
          <w:color w:val="1F1F1F"/>
        </w:rPr>
        <w:t>Frontiers in Education</w:t>
      </w:r>
      <w:r>
        <w:rPr>
          <w:rFonts w:ascii="Google Sans Text;sans-serif" w:hAnsi="Google Sans Text;sans-serif"/>
          <w:color w:val="1F1F1F"/>
        </w:rPr>
        <w:t xml:space="preserve"> is consistently categorized as a second-quartile (Q2) journal within the disciplines of Education and Social Sciences. The 2024 SCImago Journal Rank (SJR) for this venue is 0.650, while its CiteScore is recorded at 3.7. The latest Journal Citation Reports (JCR), released in June 2025, identify an Impact Factor of 1.9.</w:t>
      </w:r>
    </w:p>
    <w:p>
      <w:pPr>
        <w:pStyle w:val="BodyText"/>
        <w:keepNext w:val="false"/>
        <w:pageBreakBefore w:val="false"/>
        <w:widowControl/>
        <w:pBdr/>
        <w:bidi w:val="0"/>
        <w:spacing w:lineRule="auto" w:line="274" w:before="0" w:after="0"/>
        <w:ind w:hanging="0" w:start="0" w:end="0"/>
        <w:jc w:val="start"/>
        <w:rPr>
          <w:rFonts w:ascii="Google Sans Text;sans-serif" w:hAnsi="Google Sans Text;sans-serif"/>
          <w:color w:val="1F1F1F"/>
        </w:rPr>
      </w:pPr>
      <w:bookmarkStart w:id="2" w:name="p-c_32c37600b701ae76_69209a07-934a-43812"/>
      <w:bookmarkEnd w:id="2"/>
      <w:r>
        <w:rPr>
          <w:rFonts w:ascii="Google Sans Text;sans-serif" w:hAnsi="Google Sans Text;sans-serif"/>
          <w:color w:val="1F1F1F"/>
        </w:rPr>
        <w:t>While the journal demonstrates high visibility and is the world’s 5th most cited publisher, the specific quartile for Education remains Q2 in most reputable indexing services. The manuscript’s interdisciplinary approach—integrating cognitive science, artificial intelligence, and value-oriented education—aligns with the rigor and scope expected of a high-tier Q2 journal that borders on Q1 performance in specialized sub-disciplines such as STEM Education. Therefore, the paper must be evaluated against the stringent criteria of Q1/Q2 international standards, requiring both theoretical depth and empirical validation that can withstand rigorous peer review.</w:t>
      </w:r>
    </w:p>
    <w:p>
      <w:pPr>
        <w:pStyle w:val="Heading2"/>
        <w:keepNext w:val="false"/>
        <w:pageBreakBefore w:val="false"/>
        <w:widowControl/>
        <w:pBdr/>
        <w:bidi w:val="0"/>
        <w:spacing w:lineRule="auto" w:line="274" w:before="0" w:after="120"/>
        <w:ind w:hanging="0" w:start="0" w:end="0"/>
        <w:jc w:val="start"/>
        <w:rPr>
          <w:rFonts w:ascii="Google Sans;sans-serif" w:hAnsi="Google Sans;sans-serif"/>
          <w:color w:val="1F1F1F"/>
        </w:rPr>
      </w:pPr>
      <w:r>
        <w:rPr>
          <w:rFonts w:ascii="Google Sans;sans-serif" w:hAnsi="Google Sans;sans-serif"/>
          <w:color w:val="1F1F1F"/>
        </w:rPr>
        <w:t>Substantive Analysis via Layered PICOC Framework</w:t>
      </w:r>
    </w:p>
    <w:p>
      <w:pPr>
        <w:pStyle w:val="BodyText"/>
        <w:keepNext w:val="false"/>
        <w:pageBreakBefore w:val="false"/>
        <w:widowControl/>
        <w:pBdr/>
        <w:bidi w:val="0"/>
        <w:spacing w:lineRule="auto" w:line="274" w:before="0" w:after="0"/>
        <w:ind w:hanging="0" w:start="0" w:end="0"/>
        <w:jc w:val="start"/>
        <w:rPr>
          <w:rFonts w:ascii="Google Sans Text;sans-serif" w:hAnsi="Google Sans Text;sans-serif"/>
          <w:color w:val="1F1F1F"/>
        </w:rPr>
      </w:pPr>
      <w:bookmarkStart w:id="3" w:name="p-c_32c37600b701ae76_69209a07-934a-43813"/>
      <w:bookmarkEnd w:id="3"/>
      <w:r>
        <w:rPr>
          <w:rFonts w:ascii="Google Sans Text;sans-serif" w:hAnsi="Google Sans Text;sans-serif"/>
          <w:color w:val="1F1F1F"/>
        </w:rPr>
        <w:t>The substance of the manuscript is analyzed using the Layered PICOC framework, which segments findings into four distinct layers: Application (A), System (S), Technology (T), and Fundamental Research (F). Each layer represents a different facet of the engineered artifact, functioning as a "machine" that converts source energy into valuable work.</w:t>
      </w:r>
    </w:p>
    <w:p>
      <w:pPr>
        <w:pStyle w:val="Heading3"/>
        <w:keepNext w:val="false"/>
        <w:pageBreakBefore w:val="false"/>
        <w:widowControl/>
        <w:pBdr/>
        <w:bidi w:val="0"/>
        <w:spacing w:lineRule="auto" w:line="274" w:before="0" w:after="120"/>
        <w:ind w:hanging="0" w:start="0" w:end="0"/>
        <w:jc w:val="start"/>
        <w:rPr>
          <w:rFonts w:ascii="Google Sans;sans-serif" w:hAnsi="Google Sans;sans-serif"/>
          <w:color w:val="1F1F1F"/>
        </w:rPr>
      </w:pPr>
      <w:r>
        <w:rPr>
          <w:rFonts w:ascii="Google Sans;sans-serif" w:hAnsi="Google Sans;sans-serif"/>
          <w:color w:val="1F1F1F"/>
        </w:rPr>
        <w:t>The Application Layer (A)</w:t>
      </w:r>
    </w:p>
    <w:p>
      <w:pPr>
        <w:pStyle w:val="BodyText"/>
        <w:keepNext w:val="false"/>
        <w:pageBreakBefore w:val="false"/>
        <w:widowControl/>
        <w:pBdr/>
        <w:bidi w:val="0"/>
        <w:spacing w:lineRule="auto" w:line="274" w:before="0" w:after="0"/>
        <w:ind w:hanging="0" w:start="0" w:end="0"/>
        <w:jc w:val="start"/>
        <w:rPr>
          <w:rFonts w:ascii="Google Sans Text;sans-serif" w:hAnsi="Google Sans Text;sans-serif"/>
          <w:color w:val="1F1F1F"/>
        </w:rPr>
      </w:pPr>
      <w:bookmarkStart w:id="4" w:name="p-c_32c37600b701ae76_69209a07-934a-43814"/>
      <w:bookmarkEnd w:id="4"/>
      <w:r>
        <w:rPr>
          <w:rFonts w:ascii="Google Sans Text;sans-serif" w:hAnsi="Google Sans Text;sans-serif"/>
          <w:color w:val="1F1F1F"/>
        </w:rPr>
        <w:t>The Application Layer focuses on resolving a superior solution to a problem faced by human and organizational stakeholders. In this paper, the stakeholders $P(A)$ are undergraduate engineering students, educators, and the broader industry practitioners who inherit the skills of these graduates. The primary intervention $I(A)$ is the TISE-VALORIZE framework, which incorporates professional simulations, systematic knowledge mapping, and a knowledge marketplace. The control $C(A)$ is defined as conventional instruction, which relies on high-stakes testing and content mastery.</w:t>
      </w:r>
    </w:p>
    <w:p>
      <w:pPr>
        <w:pStyle w:val="BodyText"/>
        <w:keepNext w:val="false"/>
        <w:pageBreakBefore w:val="false"/>
        <w:widowControl/>
        <w:pBdr/>
        <w:bidi w:val="0"/>
        <w:spacing w:lineRule="auto" w:line="274" w:before="0" w:after="0"/>
        <w:ind w:hanging="0" w:start="0" w:end="0"/>
        <w:jc w:val="start"/>
        <w:rPr>
          <w:rFonts w:ascii="Google Sans Text;sans-serif" w:hAnsi="Google Sans Text;sans-serif"/>
          <w:color w:val="1F1F1F"/>
        </w:rPr>
      </w:pPr>
      <w:bookmarkStart w:id="5" w:name="p-c_32c37600b701ae76_69209a07-934a-43815"/>
      <w:bookmarkEnd w:id="5"/>
      <w:r>
        <w:rPr>
          <w:rFonts w:ascii="Google Sans Text;sans-serif" w:hAnsi="Google Sans Text;sans-serif"/>
          <w:color w:val="1F1F1F"/>
        </w:rPr>
        <w:t>The outcome $O(A)$ sought is the measurable improvement in performance consistency and the formation of professional identity, described as the transition from "knowing" to "becoming". The context $Cx(A)$ is the urgent need to equip graduates for a professional environment where regular cognitive tasks are automated by AI, making human-exclusive skills like ethical reasoning and strategic innovation more critical.</w:t>
      </w:r>
    </w:p>
    <w:p>
      <w:pPr>
        <w:pStyle w:val="Heading3"/>
        <w:keepNext w:val="false"/>
        <w:pageBreakBefore w:val="false"/>
        <w:widowControl/>
        <w:pBdr/>
        <w:bidi w:val="0"/>
        <w:spacing w:lineRule="auto" w:line="274" w:before="0" w:after="120"/>
        <w:ind w:hanging="0" w:start="0" w:end="0"/>
        <w:jc w:val="start"/>
        <w:rPr>
          <w:rFonts w:ascii="Google Sans;sans-serif" w:hAnsi="Google Sans;sans-serif"/>
          <w:color w:val="1F1F1F"/>
        </w:rPr>
      </w:pPr>
      <w:r>
        <w:rPr>
          <w:rFonts w:ascii="Google Sans;sans-serif" w:hAnsi="Google Sans;sans-serif"/>
          <w:color w:val="1F1F1F"/>
        </w:rPr>
        <w:t>The System Layer (S)</w:t>
      </w:r>
    </w:p>
    <w:p>
      <w:pPr>
        <w:pStyle w:val="BodyText"/>
        <w:keepNext w:val="false"/>
        <w:pageBreakBefore w:val="false"/>
        <w:widowControl/>
        <w:pBdr/>
        <w:bidi w:val="0"/>
        <w:spacing w:lineRule="auto" w:line="274" w:before="0" w:after="0"/>
        <w:ind w:hanging="0" w:start="0" w:end="0"/>
        <w:jc w:val="start"/>
        <w:rPr>
          <w:rFonts w:ascii="Google Sans Text;sans-serif" w:hAnsi="Google Sans Text;sans-serif"/>
          <w:color w:val="1F1F1F"/>
        </w:rPr>
      </w:pPr>
      <w:bookmarkStart w:id="6" w:name="p-c_32c37600b701ae76_69209a07-934a-43816"/>
      <w:bookmarkEnd w:id="6"/>
      <w:r>
        <w:rPr>
          <w:rFonts w:ascii="Google Sans Text;sans-serif" w:hAnsi="Google Sans Text;sans-serif"/>
          <w:color w:val="1F1F1F"/>
        </w:rPr>
        <w:t>The System Layer involves designing a controllable architecture that enables the Application layer's success. The population $P(S)$ consists of quasi-experimental datasets and cohorts of engineering students over consecutive semesters. The intervention $I(S)$ is the Collaborative Knowledge Management System for Smart Engineering (CKMS-SE), which acts as the core system architecture. The system incorporates the dual engines: the PUDAL cognitive engine and the PSKVE value engine.</w:t>
      </w:r>
    </w:p>
    <w:p>
      <w:pPr>
        <w:pStyle w:val="BodyText"/>
        <w:keepNext w:val="false"/>
        <w:pageBreakBefore w:val="false"/>
        <w:widowControl/>
        <w:pBdr/>
        <w:bidi w:val="0"/>
        <w:spacing w:lineRule="auto" w:line="274" w:before="0" w:after="0"/>
        <w:ind w:hanging="0" w:start="0" w:end="0"/>
        <w:jc w:val="start"/>
        <w:rPr>
          <w:rFonts w:ascii="Google Sans Text;sans-serif" w:hAnsi="Google Sans Text;sans-serif"/>
          <w:color w:val="1F1F1F"/>
        </w:rPr>
      </w:pPr>
      <w:bookmarkStart w:id="7" w:name="p-c_32c37600b701ae76_69209a07-934a-43817"/>
      <w:bookmarkEnd w:id="7"/>
      <w:r>
        <w:rPr>
          <w:rFonts w:ascii="Google Sans Text;sans-serif" w:hAnsi="Google Sans Text;sans-serif"/>
          <w:color w:val="1F1F1F"/>
        </w:rPr>
        <w:t>The control $C(S)$ represents existing or baseline systems of educational delivery that do not utilize knowledge-portfolio management. The measured outcome $O(S)$ is the system-level performance improvement, most notably the significant reduction in score variance, which indicates a more equitable and reliable learning process. The context $Cx(S)$ is the requirement for a system that can satisfy the psychological needs for autonomy and relatedness while remaining scalable for digital education.</w:t>
      </w:r>
    </w:p>
    <w:p>
      <w:pPr>
        <w:pStyle w:val="Heading3"/>
        <w:keepNext w:val="false"/>
        <w:pageBreakBefore w:val="false"/>
        <w:widowControl/>
        <w:pBdr/>
        <w:bidi w:val="0"/>
        <w:spacing w:lineRule="auto" w:line="274" w:before="0" w:after="120"/>
        <w:ind w:hanging="0" w:start="0" w:end="0"/>
        <w:jc w:val="start"/>
        <w:rPr>
          <w:rFonts w:ascii="Google Sans;sans-serif" w:hAnsi="Google Sans;sans-serif"/>
          <w:color w:val="1F1F1F"/>
        </w:rPr>
      </w:pPr>
      <w:r>
        <w:rPr>
          <w:rFonts w:ascii="Google Sans;sans-serif" w:hAnsi="Google Sans;sans-serif"/>
          <w:color w:val="1F1F1F"/>
        </w:rPr>
        <w:t>The Technology Layer (T)</w:t>
      </w:r>
    </w:p>
    <w:p>
      <w:pPr>
        <w:pStyle w:val="BodyText"/>
        <w:keepNext w:val="false"/>
        <w:pageBreakBefore w:val="false"/>
        <w:widowControl/>
        <w:pBdr/>
        <w:bidi w:val="0"/>
        <w:spacing w:lineRule="auto" w:line="274" w:before="0" w:after="0"/>
        <w:ind w:hanging="0" w:start="0" w:end="0"/>
        <w:jc w:val="start"/>
        <w:rPr>
          <w:rFonts w:ascii="Google Sans Text;sans-serif" w:hAnsi="Google Sans Text;sans-serif"/>
          <w:color w:val="1F1F1F"/>
        </w:rPr>
      </w:pPr>
      <w:bookmarkStart w:id="8" w:name="p-c_32c37600b701ae76_69209a07-934a-43818"/>
      <w:bookmarkEnd w:id="8"/>
      <w:r>
        <w:rPr>
          <w:rFonts w:ascii="Google Sans Text;sans-serif" w:hAnsi="Google Sans Text;sans-serif"/>
          <w:color w:val="1F1F1F"/>
        </w:rPr>
        <w:t>The Technology Layer details the specific engines or modules developed to perform crucial tasks. The population $P(T)$ includes the raw data inputs and student-created artifacts that the technological engines act upon. The intervention $I(T)$ is the "PUDAL Engine," which operationalizes the five steps of the cognitive cycle: Perceive, Understand, Design, Act, and Learn.</w:t>
      </w:r>
    </w:p>
    <w:p>
      <w:pPr>
        <w:pStyle w:val="BodyText"/>
        <w:keepNext w:val="false"/>
        <w:pageBreakBefore w:val="false"/>
        <w:widowControl/>
        <w:pBdr/>
        <w:bidi w:val="0"/>
        <w:spacing w:lineRule="auto" w:line="274" w:before="0" w:after="0"/>
        <w:ind w:hanging="0" w:start="0" w:end="0"/>
        <w:jc w:val="start"/>
        <w:rPr>
          <w:rFonts w:ascii="Google Sans Text;sans-serif" w:hAnsi="Google Sans Text;sans-serif"/>
          <w:color w:val="1F1F1F"/>
        </w:rPr>
      </w:pPr>
      <w:bookmarkStart w:id="9" w:name="p-c_32c37600b701ae76_69209a07-934a-43819"/>
      <w:bookmarkEnd w:id="9"/>
      <w:r>
        <w:rPr>
          <w:rFonts w:ascii="Google Sans Text;sans-serif" w:hAnsi="Google Sans Text;sans-serif"/>
          <w:color w:val="1F1F1F"/>
        </w:rPr>
        <w:t>The control $C(T)$ involves traditional instruments of evaluation and lecture-based delivery without AI-assisted mapping or gamified incentives. The outcome $O(T)$ is the achievement of higher conversion efficiency in mental schema construction, where complex signal equations are converted into structured visual maps with higher precision. The context $Cx(T)$ is the cognitive challenge of working memory limitations, where the technology must alleviate extraneous load to focus on germane load.</w:t>
      </w:r>
    </w:p>
    <w:p>
      <w:pPr>
        <w:pStyle w:val="Heading3"/>
        <w:keepNext w:val="false"/>
        <w:pageBreakBefore w:val="false"/>
        <w:widowControl/>
        <w:pBdr/>
        <w:bidi w:val="0"/>
        <w:spacing w:lineRule="auto" w:line="274" w:before="0" w:after="120"/>
        <w:ind w:hanging="0" w:start="0" w:end="0"/>
        <w:jc w:val="start"/>
        <w:rPr>
          <w:rFonts w:ascii="Google Sans;sans-serif" w:hAnsi="Google Sans;sans-serif"/>
          <w:color w:val="1F1F1F"/>
        </w:rPr>
      </w:pPr>
      <w:r>
        <w:rPr>
          <w:rFonts w:ascii="Google Sans;sans-serif" w:hAnsi="Google Sans;sans-serif"/>
          <w:color w:val="1F1F1F"/>
        </w:rPr>
        <w:t>The Fundamental Research Layer (F)</w:t>
      </w:r>
    </w:p>
    <w:p>
      <w:pPr>
        <w:pStyle w:val="BodyText"/>
        <w:keepNext w:val="false"/>
        <w:pageBreakBefore w:val="false"/>
        <w:widowControl/>
        <w:pBdr/>
        <w:bidi w:val="0"/>
        <w:spacing w:lineRule="auto" w:line="274" w:before="0" w:after="0"/>
        <w:ind w:hanging="0" w:start="0" w:end="0"/>
        <w:jc w:val="start"/>
        <w:rPr>
          <w:rFonts w:ascii="Google Sans Text;sans-serif" w:hAnsi="Google Sans Text;sans-serif"/>
          <w:color w:val="1F1F1F"/>
        </w:rPr>
      </w:pPr>
      <w:bookmarkStart w:id="10" w:name="p-c_32c37600b701ae76_69209a07-934a-4381a"/>
      <w:bookmarkEnd w:id="10"/>
      <w:r>
        <w:rPr>
          <w:rFonts w:ascii="Google Sans Text;sans-serif" w:hAnsi="Google Sans Text;sans-serif"/>
          <w:color w:val="1F1F1F"/>
        </w:rPr>
        <w:t>The Fundamental Layer adds to the body of knowledge by discovering new principles of reality. The population $P(F)$ comprises the underlying psychological entities of cognitive load and intrinsic motivation. The intervention $I(F)$ is the synthesized theory of Triune-Intelligence Smart Engineering, which discovery new pedagogical principles for integrating human, artificial, and natural intelligence.</w:t>
      </w:r>
    </w:p>
    <w:p>
      <w:pPr>
        <w:pStyle w:val="BodyText"/>
        <w:keepNext w:val="false"/>
        <w:pageBreakBefore w:val="false"/>
        <w:widowControl/>
        <w:pBdr/>
        <w:bidi w:val="0"/>
        <w:spacing w:lineRule="auto" w:line="274" w:before="0" w:after="0"/>
        <w:ind w:hanging="0" w:start="0" w:end="0"/>
        <w:jc w:val="start"/>
        <w:rPr>
          <w:rFonts w:ascii="Google Sans Text;sans-serif" w:hAnsi="Google Sans Text;sans-serif"/>
          <w:color w:val="1F1F1F"/>
        </w:rPr>
      </w:pPr>
      <w:bookmarkStart w:id="11" w:name="p-c_32c37600b701ae76_69209a07-934a-4381b"/>
      <w:bookmarkEnd w:id="11"/>
      <w:r>
        <w:rPr>
          <w:rFonts w:ascii="Google Sans Text;sans-serif" w:hAnsi="Google Sans Text;sans-serif"/>
          <w:color w:val="1F1F1F"/>
        </w:rPr>
        <w:t>The control $C(F)$ is the existing theoretical model of content-mastery education that overlooks the importance of value co-creation. The outcome $O(F)$ is the generation of new knowledge regarding how satisfying the three basic psychological needs—autonomy, competence, and relatedness—leads to persistent and equitable engagement. The context $Cx(F)$ is the quest for a theoretical framework that can survive the disruptive arrival of generative AI in cognitive task automation.</w:t>
      </w:r>
    </w:p>
    <w:p>
      <w:pPr>
        <w:pStyle w:val="Heading2"/>
        <w:keepNext w:val="false"/>
        <w:pageBreakBefore w:val="false"/>
        <w:widowControl/>
        <w:pBdr/>
        <w:bidi w:val="0"/>
        <w:spacing w:lineRule="auto" w:line="274" w:before="0" w:after="120"/>
        <w:ind w:hanging="0" w:start="0" w:end="0"/>
        <w:jc w:val="start"/>
        <w:rPr>
          <w:rFonts w:ascii="Google Sans;sans-serif" w:hAnsi="Google Sans;sans-serif"/>
          <w:color w:val="1F1F1F"/>
        </w:rPr>
      </w:pPr>
      <w:r>
        <w:rPr>
          <w:rFonts w:ascii="Google Sans;sans-serif" w:hAnsi="Google Sans;sans-serif"/>
          <w:color w:val="1F1F1F"/>
        </w:rPr>
        <w:t>Detailed paper Review (Rubrik Penilaian)</w:t>
      </w:r>
    </w:p>
    <w:p>
      <w:pPr>
        <w:pStyle w:val="BodyText"/>
        <w:keepNext w:val="false"/>
        <w:pageBreakBefore w:val="false"/>
        <w:widowControl/>
        <w:pBdr/>
        <w:bidi w:val="0"/>
        <w:spacing w:lineRule="auto" w:line="274" w:before="0" w:after="0"/>
        <w:ind w:hanging="0" w:start="0" w:end="0"/>
        <w:jc w:val="start"/>
        <w:rPr>
          <w:rFonts w:ascii="Google Sans Text;sans-serif" w:hAnsi="Google Sans Text;sans-serif"/>
          <w:color w:val="1F1F1F"/>
        </w:rPr>
      </w:pPr>
      <w:bookmarkStart w:id="12" w:name="p-c_32c37600b701ae76_69209a07-934a-4381c"/>
      <w:bookmarkEnd w:id="12"/>
      <w:r>
        <w:rPr>
          <w:rFonts w:ascii="Google Sans Text;sans-serif" w:hAnsi="Google Sans Text;sans-serif"/>
          <w:color w:val="1F1F1F"/>
        </w:rPr>
        <w:t>Using the standard "Rubrik Penilaian" criteria, the following review evaluates the fundamental merit and specific technical execution of the paper.</w:t>
      </w:r>
    </w:p>
    <w:p>
      <w:pPr>
        <w:pStyle w:val="Heading3"/>
        <w:keepNext w:val="false"/>
        <w:pageBreakBefore w:val="false"/>
        <w:widowControl/>
        <w:pBdr/>
        <w:bidi w:val="0"/>
        <w:spacing w:lineRule="auto" w:line="274" w:before="0" w:after="120"/>
        <w:ind w:hanging="0" w:start="0" w:end="0"/>
        <w:jc w:val="start"/>
        <w:rPr>
          <w:rFonts w:ascii="Google Sans;sans-serif" w:hAnsi="Google Sans;sans-serif"/>
          <w:color w:val="1F1F1F"/>
        </w:rPr>
      </w:pPr>
      <w:r>
        <w:rPr>
          <w:rFonts w:ascii="Google Sans;sans-serif" w:hAnsi="Google Sans;sans-serif"/>
          <w:color w:val="1F1F1F"/>
        </w:rPr>
        <w:t>Identity and Identity Assessment</w:t>
      </w:r>
    </w:p>
    <w:p>
      <w:pPr>
        <w:pStyle w:val="BodyText"/>
        <w:keepNext w:val="false"/>
        <w:pageBreakBefore w:val="false"/>
        <w:widowControl/>
        <w:pBdr/>
        <w:bidi w:val="0"/>
        <w:spacing w:lineRule="auto" w:line="274" w:before="0" w:after="0"/>
        <w:ind w:hanging="0" w:start="0" w:end="0"/>
        <w:jc w:val="start"/>
        <w:rPr>
          <w:rFonts w:ascii="Google Sans Text;sans-serif" w:hAnsi="Google Sans Text;sans-serif"/>
          <w:color w:val="1F1F1F"/>
        </w:rPr>
      </w:pPr>
      <w:bookmarkStart w:id="13" w:name="p-c_32c37600b701ae76_69209a07-934a-4381d"/>
      <w:bookmarkEnd w:id="13"/>
      <w:r>
        <w:rPr>
          <w:rFonts w:ascii="Google Sans Text;sans-serif" w:hAnsi="Google Sans Text;sans-serif"/>
          <w:color w:val="1F1F1F"/>
        </w:rPr>
        <w:t xml:space="preserve">The paper is titled "Orchestrating Value Co-Creation in Digital Education Using the TISE-VALORIZE Framework: From Knowing to Becoming," authored by Meliana Christianti Johan and a collaborative team from Institut Teknologi Bandung and its partners. The research topic is situated at the intersection of Engineering Education, Cognitive Science, and Artificial Intelligence. The primary supervisor/promotor role is implicitly held by senior researchers in electrical engineering and informatics. The assessment score for Identity is </w:t>
      </w:r>
      <w:r>
        <w:rPr>
          <w:rFonts w:ascii="Google Sans Text;sans-serif" w:hAnsi="Google Sans Text;sans-serif"/>
          <w:b/>
          <w:color w:val="1F1F1F"/>
        </w:rPr>
        <w:t>5/5</w:t>
      </w:r>
      <w:r>
        <w:rPr>
          <w:rFonts w:ascii="Google Sans Text;sans-serif" w:hAnsi="Google Sans Text;sans-serif"/>
          <w:color w:val="1F1F1F"/>
        </w:rPr>
        <w:t>, as the title and topic are highly current and professionally articulated.</w:t>
      </w:r>
    </w:p>
    <w:p>
      <w:pPr>
        <w:pStyle w:val="Heading3"/>
        <w:keepNext w:val="false"/>
        <w:pageBreakBefore w:val="false"/>
        <w:widowControl/>
        <w:pBdr/>
        <w:bidi w:val="0"/>
        <w:spacing w:lineRule="auto" w:line="274" w:before="0" w:after="120"/>
        <w:ind w:hanging="0" w:start="0" w:end="0"/>
        <w:jc w:val="start"/>
        <w:rPr>
          <w:rFonts w:ascii="Google Sans;sans-serif" w:hAnsi="Google Sans;sans-serif"/>
          <w:color w:val="1F1F1F"/>
        </w:rPr>
      </w:pPr>
      <w:r>
        <w:rPr>
          <w:rFonts w:ascii="Google Sans;sans-serif" w:hAnsi="Google Sans;sans-serif"/>
          <w:color w:val="1F1F1F"/>
        </w:rPr>
        <w:t>General Comments (Weight 40%)</w:t>
      </w:r>
    </w:p>
    <w:p>
      <w:pPr>
        <w:pStyle w:val="BodyText"/>
        <w:keepNext w:val="false"/>
        <w:pageBreakBefore w:val="false"/>
        <w:widowControl/>
        <w:pBdr/>
        <w:bidi w:val="0"/>
        <w:spacing w:lineRule="auto" w:line="274" w:before="0" w:after="0"/>
        <w:ind w:hanging="0" w:start="0" w:end="0"/>
        <w:jc w:val="start"/>
        <w:rPr>
          <w:rFonts w:ascii="Google Sans Text;sans-serif" w:hAnsi="Google Sans Text;sans-serif"/>
          <w:color w:val="1F1F1F"/>
        </w:rPr>
      </w:pPr>
      <w:bookmarkStart w:id="14" w:name="p-c_32c37600b701ae76_69209a07-934a-4381e"/>
      <w:bookmarkEnd w:id="14"/>
      <w:r>
        <w:rPr>
          <w:rFonts w:ascii="Google Sans Text;sans-serif" w:hAnsi="Google Sans Text;sans-serif"/>
          <w:color w:val="1F1F1F"/>
        </w:rPr>
        <w:t>The research problem is clear, important, and exceptionally worthy of a paper topic. The central problem—the disparity between industry requirements and educational output—is a critical challenge in the AI era. The research contribution is highly significant, offering a scalable framework that provides a structural path toward professional identity formation.</w:t>
      </w:r>
    </w:p>
    <w:p>
      <w:pPr>
        <w:pStyle w:val="BodyText"/>
        <w:keepNext w:val="false"/>
        <w:pageBreakBefore w:val="false"/>
        <w:widowControl/>
        <w:pBdr/>
        <w:bidi w:val="0"/>
        <w:spacing w:lineRule="auto" w:line="274" w:before="0" w:after="0"/>
        <w:ind w:hanging="0" w:start="0" w:end="0"/>
        <w:jc w:val="start"/>
        <w:rPr>
          <w:rFonts w:ascii="Google Sans Text;sans-serif" w:hAnsi="Google Sans Text;sans-serif"/>
          <w:color w:val="1F1F1F"/>
        </w:rPr>
      </w:pPr>
      <w:bookmarkStart w:id="15" w:name="p-c_32c37600b701ae76_69209a07-934a-4381f"/>
      <w:bookmarkEnd w:id="15"/>
      <w:r>
        <w:rPr>
          <w:rFonts w:ascii="Google Sans Text;sans-serif" w:hAnsi="Google Sans Text;sans-serif"/>
          <w:color w:val="1F1F1F"/>
        </w:rPr>
        <w:t xml:space="preserve">The novelty of the work lies in the integration of the Triune-Intelligence model with the VALORIZE implementation keys. The result is new knowledge regarding how "Value Co-Creation" can be operationalized in a classroom through a "Knowledge Marketplace". The validity of the findings is supported by statistical evidence showing that the experimental group performed significantly better ($M=94.98$) with a remarkably lower variance ($Var=52.01$) compared to control groups. The methodology is sophisticated, synthesizing multiple complex theories, though its empirical execution remains in a "preliminary validation" phase. The score for General Comments is </w:t>
      </w:r>
      <w:r>
        <w:rPr>
          <w:rFonts w:ascii="Google Sans Text;sans-serif" w:hAnsi="Google Sans Text;sans-serif"/>
          <w:b/>
          <w:color w:val="1F1F1F"/>
        </w:rPr>
        <w:t>4/5</w:t>
      </w:r>
      <w:r>
        <w:rPr>
          <w:rFonts w:ascii="Google Sans Text;sans-serif" w:hAnsi="Google Sans Text;sans-serif"/>
          <w:color w:val="1F1F1F"/>
        </w:rPr>
        <w:t>, penalized only for the lack of multi-institutional validation at this stage.</w:t>
      </w:r>
    </w:p>
    <w:p>
      <w:pPr>
        <w:pStyle w:val="Heading3"/>
        <w:keepNext w:val="false"/>
        <w:pageBreakBefore w:val="false"/>
        <w:widowControl/>
        <w:pBdr/>
        <w:bidi w:val="0"/>
        <w:spacing w:lineRule="auto" w:line="274" w:before="0" w:after="120"/>
        <w:ind w:hanging="0" w:start="0" w:end="0"/>
        <w:jc w:val="start"/>
        <w:rPr>
          <w:rFonts w:ascii="Google Sans;sans-serif" w:hAnsi="Google Sans;sans-serif"/>
          <w:color w:val="1F1F1F"/>
        </w:rPr>
      </w:pPr>
      <w:r>
        <w:rPr>
          <w:rFonts w:ascii="Google Sans;sans-serif" w:hAnsi="Google Sans;sans-serif"/>
          <w:color w:val="1F1F1F"/>
        </w:rPr>
        <w:t>Specific Comments (Weight 50%)</w:t>
      </w:r>
    </w:p>
    <w:p>
      <w:pPr>
        <w:pStyle w:val="Heading4"/>
        <w:keepNext w:val="false"/>
        <w:pageBreakBefore w:val="false"/>
        <w:widowControl/>
        <w:pBdr/>
        <w:bidi w:val="0"/>
        <w:spacing w:lineRule="auto" w:line="274" w:before="0" w:after="120"/>
        <w:ind w:hanging="0" w:start="0" w:end="0"/>
        <w:jc w:val="start"/>
        <w:rPr>
          <w:rFonts w:ascii="Google Sans;sans-serif" w:hAnsi="Google Sans;sans-serif"/>
          <w:color w:val="1F1F1F"/>
        </w:rPr>
      </w:pPr>
      <w:r>
        <w:rPr>
          <w:rFonts w:ascii="Google Sans;sans-serif" w:hAnsi="Google Sans;sans-serif"/>
          <w:color w:val="1F1F1F"/>
        </w:rPr>
        <w:t>Introduction and Theoretical Framework</w:t>
      </w:r>
    </w:p>
    <w:p>
      <w:pPr>
        <w:pStyle w:val="BodyText"/>
        <w:keepNext w:val="false"/>
        <w:pageBreakBefore w:val="false"/>
        <w:widowControl/>
        <w:pBdr/>
        <w:bidi w:val="0"/>
        <w:spacing w:lineRule="auto" w:line="274" w:before="0" w:after="0"/>
        <w:ind w:hanging="0" w:start="0" w:end="0"/>
        <w:jc w:val="start"/>
        <w:rPr>
          <w:rFonts w:ascii="Google Sans Text;sans-serif" w:hAnsi="Google Sans Text;sans-serif"/>
          <w:color w:val="1F1F1F"/>
        </w:rPr>
      </w:pPr>
      <w:bookmarkStart w:id="16" w:name="p-c_32c37600b701ae76_69209a07-934a-4381g"/>
      <w:bookmarkEnd w:id="16"/>
      <w:r>
        <w:rPr>
          <w:rFonts w:ascii="Google Sans Text;sans-serif" w:hAnsi="Google Sans Text;sans-serif"/>
          <w:color w:val="1F1F1F"/>
        </w:rPr>
        <w:t>The background is deeply related to the problem, successfully establishing the obsolescence of the old "content-based" narrative. Previous research is cited extensively, though reviewers noted a density of citations that can occasionally hinder the narrative flow. The problem formulation is explicit, though the hypotheses would benefit from more explicit bulleting at the end of the section.</w:t>
      </w:r>
    </w:p>
    <w:p>
      <w:pPr>
        <w:pStyle w:val="BodyText"/>
        <w:keepNext w:val="false"/>
        <w:pageBreakBefore w:val="false"/>
        <w:widowControl/>
        <w:pBdr/>
        <w:bidi w:val="0"/>
        <w:spacing w:lineRule="auto" w:line="274" w:before="0" w:after="0"/>
        <w:ind w:hanging="0" w:start="0" w:end="0"/>
        <w:jc w:val="start"/>
        <w:rPr>
          <w:rFonts w:ascii="Google Sans Text;sans-serif" w:hAnsi="Google Sans Text;sans-serif"/>
          <w:color w:val="1F1F1F"/>
        </w:rPr>
      </w:pPr>
      <w:bookmarkStart w:id="17" w:name="p-c_32c37600b701ae76_69209a07-934a-4381h"/>
      <w:bookmarkEnd w:id="17"/>
      <w:r>
        <w:rPr>
          <w:rFonts w:ascii="Google Sans Text;sans-serif" w:hAnsi="Google Sans Text;sans-serif"/>
          <w:color w:val="1F1F1F"/>
        </w:rPr>
        <w:t>The literature review follows a systematic systematic explanation of Cognitive Load Theory (CLT) and Self-Determination Theory (SDT). The analysis of the PICOC layers shows that the theoretical foundation for the new solution is constructed with scientific rigor. The critical discussion of professional identity formation correctly identifies that identity is "taken on" through real professional work.</w:t>
      </w:r>
    </w:p>
    <w:p>
      <w:pPr>
        <w:pStyle w:val="Heading4"/>
        <w:keepNext w:val="false"/>
        <w:pageBreakBefore w:val="false"/>
        <w:widowControl/>
        <w:pBdr/>
        <w:bidi w:val="0"/>
        <w:spacing w:lineRule="auto" w:line="274" w:before="0" w:after="120"/>
        <w:ind w:hanging="0" w:start="0" w:end="0"/>
        <w:jc w:val="start"/>
        <w:rPr>
          <w:rFonts w:ascii="Google Sans;sans-serif" w:hAnsi="Google Sans;sans-serif"/>
          <w:color w:val="1F1F1F"/>
        </w:rPr>
      </w:pPr>
      <w:r>
        <w:rPr>
          <w:rFonts w:ascii="Google Sans;sans-serif" w:hAnsi="Google Sans;sans-serif"/>
          <w:color w:val="1F1F1F"/>
        </w:rPr>
        <w:t>Research Methodology and Execution</w:t>
      </w:r>
    </w:p>
    <w:p>
      <w:pPr>
        <w:pStyle w:val="BodyText"/>
        <w:keepNext w:val="false"/>
        <w:pageBreakBefore w:val="false"/>
        <w:widowControl/>
        <w:pBdr/>
        <w:bidi w:val="0"/>
        <w:spacing w:lineRule="auto" w:line="274" w:before="0" w:after="0"/>
        <w:ind w:hanging="0" w:start="0" w:end="0"/>
        <w:jc w:val="start"/>
        <w:rPr>
          <w:rFonts w:ascii="Google Sans Text;sans-serif" w:hAnsi="Google Sans Text;sans-serif"/>
          <w:color w:val="1F1F1F"/>
        </w:rPr>
      </w:pPr>
      <w:bookmarkStart w:id="18" w:name="p-c_32c37600b701ae76_69209a07-934a-4381i"/>
      <w:bookmarkEnd w:id="18"/>
      <w:r>
        <w:rPr>
          <w:rFonts w:ascii="Google Sans Text;sans-serif" w:hAnsi="Google Sans Text;sans-serif"/>
          <w:color w:val="1F1F1F"/>
        </w:rPr>
        <w:t>The methodology is clearly written and effectively addresses the research questions by comparing the framework against conventional instruction. The specific techniques, such as systematic knowledge mapping and professional simulations, are appropriate for engineering education. However, the design of the experiment is categorized as a quasi-experimental posttest-only design with non-equivalent groups, which introduces cohort effects. The execution of the PUDAL engine is theoretically sound, but the lack of direct measurement for motivation and cognitive load (e.g., using NASA-TLX) remains a technical weakness.</w:t>
      </w:r>
    </w:p>
    <w:p>
      <w:pPr>
        <w:pStyle w:val="Heading4"/>
        <w:keepNext w:val="false"/>
        <w:pageBreakBefore w:val="false"/>
        <w:widowControl/>
        <w:pBdr/>
        <w:bidi w:val="0"/>
        <w:spacing w:lineRule="auto" w:line="274" w:before="0" w:after="120"/>
        <w:ind w:hanging="0" w:start="0" w:end="0"/>
        <w:jc w:val="start"/>
        <w:rPr>
          <w:rFonts w:ascii="Google Sans;sans-serif" w:hAnsi="Google Sans;sans-serif"/>
          <w:color w:val="1F1F1F"/>
        </w:rPr>
      </w:pPr>
      <w:r>
        <w:rPr>
          <w:rFonts w:ascii="Google Sans;sans-serif" w:hAnsi="Google Sans;sans-serif"/>
          <w:color w:val="1F1F1F"/>
        </w:rPr>
        <w:t>Results and Discussion</w:t>
      </w:r>
    </w:p>
    <w:p>
      <w:pPr>
        <w:pStyle w:val="BodyText"/>
        <w:keepNext w:val="false"/>
        <w:pageBreakBefore w:val="false"/>
        <w:widowControl/>
        <w:pBdr/>
        <w:bidi w:val="0"/>
        <w:spacing w:lineRule="auto" w:line="274" w:before="0" w:after="0"/>
        <w:ind w:hanging="0" w:start="0" w:end="0"/>
        <w:jc w:val="start"/>
        <w:rPr>
          <w:rFonts w:ascii="Google Sans Text;sans-serif" w:hAnsi="Google Sans Text;sans-serif"/>
          <w:color w:val="1F1F1F"/>
        </w:rPr>
      </w:pPr>
      <w:bookmarkStart w:id="19" w:name="p-c_32c37600b701ae76_69209a07-934a-4381j"/>
      <w:bookmarkEnd w:id="19"/>
      <w:r>
        <w:rPr>
          <w:rFonts w:ascii="Google Sans Text;sans-serif" w:hAnsi="Google Sans Text;sans-serif"/>
          <w:color w:val="1F1F1F"/>
        </w:rPr>
        <w:t>The claimed results regarding superior academic performance and equity are discussed comprehensively. The data indicates a statistically significant difference $p=0.014$, though the effect size $\eta^2 = 0.061$ is modest. The discussion tries to connect findings to theories, but as noted by reviewers, it occasionally interprets findings with excessive causality regarding intrinsic motivation without having measured it directly.</w:t>
      </w:r>
    </w:p>
    <w:p>
      <w:pPr>
        <w:pStyle w:val="Heading4"/>
        <w:keepNext w:val="false"/>
        <w:pageBreakBefore w:val="false"/>
        <w:widowControl/>
        <w:pBdr/>
        <w:bidi w:val="0"/>
        <w:spacing w:lineRule="auto" w:line="274" w:before="0" w:after="120"/>
        <w:ind w:hanging="0" w:start="0" w:end="0"/>
        <w:jc w:val="start"/>
        <w:rPr>
          <w:rFonts w:ascii="Google Sans;sans-serif" w:hAnsi="Google Sans;sans-serif"/>
          <w:color w:val="1F1F1F"/>
        </w:rPr>
      </w:pPr>
      <w:r>
        <w:rPr>
          <w:rFonts w:ascii="Google Sans;sans-serif" w:hAnsi="Google Sans;sans-serif"/>
          <w:color w:val="1F1F1F"/>
        </w:rPr>
        <w:t>Conclusion and Bibliography</w:t>
      </w:r>
    </w:p>
    <w:p>
      <w:pPr>
        <w:pStyle w:val="BodyText"/>
        <w:keepNext w:val="false"/>
        <w:pageBreakBefore w:val="false"/>
        <w:widowControl/>
        <w:pBdr/>
        <w:bidi w:val="0"/>
        <w:spacing w:lineRule="auto" w:line="274" w:before="0" w:after="0"/>
        <w:ind w:hanging="0" w:start="0" w:end="0"/>
        <w:jc w:val="start"/>
        <w:rPr>
          <w:rFonts w:ascii="Google Sans Text;sans-serif" w:hAnsi="Google Sans Text;sans-serif"/>
          <w:color w:val="1F1F1F"/>
        </w:rPr>
      </w:pPr>
      <w:bookmarkStart w:id="20" w:name="p-c_32c37600b701ae76_69209a07-934a-4381k"/>
      <w:bookmarkEnd w:id="20"/>
      <w:r>
        <w:rPr>
          <w:rFonts w:ascii="Google Sans Text;sans-serif" w:hAnsi="Google Sans Text;sans-serif"/>
          <w:color w:val="1F1F1F"/>
        </w:rPr>
        <w:t xml:space="preserve">The conclusion is based on the results and answers the primary research question regarding the framework's efficacy. It shows practical implications for preparing graduates for automated professional settings. The bibliography is comprehensive and includes the latest information from 2025, though formatting inconsistencies in capitalization and citation-text alignment were identified. The score for Specific Comments is </w:t>
      </w:r>
      <w:r>
        <w:rPr>
          <w:rFonts w:ascii="Google Sans Text;sans-serif" w:hAnsi="Google Sans Text;sans-serif"/>
          <w:b/>
          <w:color w:val="1F1F1F"/>
        </w:rPr>
        <w:t>4/5</w:t>
      </w:r>
      <w:r>
        <w:rPr>
          <w:rFonts w:ascii="Google Sans Text;sans-serif" w:hAnsi="Google Sans Text;sans-serif"/>
          <w:color w:val="1F1F1F"/>
        </w:rPr>
        <w:t>.</w:t>
      </w:r>
    </w:p>
    <w:p>
      <w:pPr>
        <w:pStyle w:val="Heading3"/>
        <w:keepNext w:val="false"/>
        <w:pageBreakBefore w:val="false"/>
        <w:widowControl/>
        <w:pBdr/>
        <w:bidi w:val="0"/>
        <w:spacing w:lineRule="auto" w:line="274" w:before="0" w:after="120"/>
        <w:ind w:hanging="0" w:start="0" w:end="0"/>
        <w:jc w:val="start"/>
        <w:rPr>
          <w:rFonts w:ascii="Google Sans;sans-serif" w:hAnsi="Google Sans;sans-serif"/>
          <w:color w:val="1F1F1F"/>
        </w:rPr>
      </w:pPr>
      <w:r>
        <w:rPr>
          <w:rFonts w:ascii="Google Sans;sans-serif" w:hAnsi="Google Sans;sans-serif"/>
          <w:color w:val="1F1F1F"/>
        </w:rPr>
        <w:t>Writing Style and Layout (Weight 10%)</w:t>
      </w:r>
    </w:p>
    <w:p>
      <w:pPr>
        <w:pStyle w:val="BodyText"/>
        <w:keepNext w:val="false"/>
        <w:pageBreakBefore w:val="false"/>
        <w:widowControl/>
        <w:pBdr/>
        <w:bidi w:val="0"/>
        <w:spacing w:lineRule="auto" w:line="274" w:before="0" w:after="0"/>
        <w:ind w:hanging="0" w:start="0" w:end="0"/>
        <w:jc w:val="start"/>
        <w:rPr>
          <w:rFonts w:ascii="Google Sans Text;sans-serif" w:hAnsi="Google Sans Text;sans-serif"/>
          <w:color w:val="1F1F1F"/>
        </w:rPr>
      </w:pPr>
      <w:bookmarkStart w:id="21" w:name="p-c_32c37600b701ae76_69209a07-934a-4381l"/>
      <w:bookmarkEnd w:id="21"/>
      <w:r>
        <w:rPr>
          <w:rFonts w:ascii="Google Sans Text;sans-serif" w:hAnsi="Google Sans Text;sans-serif"/>
          <w:color w:val="1F1F1F"/>
        </w:rPr>
        <w:t xml:space="preserve">The overall quality of writing is high, although Reviewer 2 identified that the conclusion is somewhat repetitive and too long. Typographical errors were not specifically listed, but a final cross-check for reference formatting and capitalization consistency is necessary. The score for Writing Style is </w:t>
      </w:r>
      <w:r>
        <w:rPr>
          <w:rFonts w:ascii="Google Sans Text;sans-serif" w:hAnsi="Google Sans Text;sans-serif"/>
          <w:b/>
          <w:color w:val="1F1F1F"/>
        </w:rPr>
        <w:t>4/5</w:t>
      </w:r>
      <w:r>
        <w:rPr>
          <w:rFonts w:ascii="Google Sans Text;sans-serif" w:hAnsi="Google Sans Text;sans-serif"/>
          <w:color w:val="1F1F1F"/>
        </w:rPr>
        <w:t>.</w:t>
      </w:r>
    </w:p>
    <w:p>
      <w:pPr>
        <w:pStyle w:val="Heading3"/>
        <w:keepNext w:val="false"/>
        <w:pageBreakBefore w:val="false"/>
        <w:widowControl/>
        <w:pBdr/>
        <w:bidi w:val="0"/>
        <w:spacing w:lineRule="auto" w:line="274" w:before="0" w:after="120"/>
        <w:ind w:hanging="0" w:start="0" w:end="0"/>
        <w:jc w:val="start"/>
        <w:rPr>
          <w:rFonts w:ascii="Google Sans;sans-serif" w:hAnsi="Google Sans;sans-serif"/>
          <w:color w:val="1F1F1F"/>
        </w:rPr>
      </w:pPr>
      <w:r>
        <w:rPr>
          <w:rFonts w:ascii="Google Sans;sans-serif" w:hAnsi="Google Sans;sans-serif"/>
          <w:color w:val="1F1F1F"/>
        </w:rPr>
        <w:t>Final Recommendation</w:t>
      </w:r>
    </w:p>
    <w:p>
      <w:pPr>
        <w:pStyle w:val="BodyText"/>
        <w:keepNext w:val="false"/>
        <w:pageBreakBefore w:val="false"/>
        <w:widowControl/>
        <w:pBdr/>
        <w:bidi w:val="0"/>
        <w:spacing w:lineRule="auto" w:line="274" w:before="0" w:after="0"/>
        <w:ind w:hanging="0" w:start="0" w:end="0"/>
        <w:jc w:val="start"/>
        <w:rPr>
          <w:rFonts w:ascii="Google Sans Text;sans-serif" w:hAnsi="Google Sans Text;sans-serif"/>
          <w:color w:val="1F1F1F"/>
        </w:rPr>
      </w:pPr>
      <w:r>
        <w:rPr>
          <w:rFonts w:ascii="Google Sans Text;sans-serif" w:hAnsi="Google Sans Text;sans-serif"/>
          <w:color w:val="1F1F1F"/>
        </w:rPr>
        <w:t xml:space="preserve">The final recommendation is a </w:t>
      </w:r>
      <w:r>
        <w:rPr>
          <w:rFonts w:ascii="Google Sans Text;sans-serif" w:hAnsi="Google Sans Text;sans-serif"/>
          <w:b/>
          <w:color w:val="1F1F1F"/>
        </w:rPr>
        <w:t>Major Revision</w:t>
      </w:r>
      <w:r>
        <w:rPr>
          <w:rFonts w:ascii="Google Sans Text;sans-serif" w:hAnsi="Google Sans Text;sans-serif"/>
          <w:color w:val="1F1F1F"/>
        </w:rPr>
        <w:t xml:space="preserve"> with a strong publication potential. The total score is </w:t>
      </w:r>
      <w:r>
        <w:rPr>
          <w:rFonts w:ascii="Google Sans Text;sans-serif" w:hAnsi="Google Sans Text;sans-serif"/>
          <w:b/>
          <w:color w:val="1F1F1F"/>
        </w:rPr>
        <w:t>4.2/5</w:t>
      </w:r>
      <w:r>
        <w:rPr>
          <w:rFonts w:ascii="Google Sans Text;sans-serif" w:hAnsi="Google Sans Text;sans-serif"/>
          <w:color w:val="1F1F1F"/>
        </w:rPr>
        <w:t>. The paper is highly suitable for its intended purpose, provided the methodological and structural improvements requested by reviewers are implemented.</w:t>
      </w:r>
    </w:p>
    <w:p>
      <w:pPr>
        <w:pStyle w:val="Heading2"/>
        <w:keepNext w:val="false"/>
        <w:pageBreakBefore w:val="false"/>
        <w:widowControl/>
        <w:pBdr/>
        <w:bidi w:val="0"/>
        <w:spacing w:lineRule="auto" w:line="274" w:before="0" w:after="120"/>
        <w:ind w:hanging="0" w:start="0" w:end="0"/>
        <w:jc w:val="start"/>
        <w:rPr>
          <w:rFonts w:ascii="Google Sans;sans-serif" w:hAnsi="Google Sans;sans-serif"/>
          <w:color w:val="1F1F1F"/>
        </w:rPr>
      </w:pPr>
      <w:r>
        <w:rPr>
          <w:rFonts w:ascii="Google Sans;sans-serif" w:hAnsi="Google Sans;sans-serif"/>
          <w:color w:val="1F1F1F"/>
        </w:rPr>
        <w:t>Address of the Six Categorical Questions (Q1-Q6)</w:t>
      </w:r>
    </w:p>
    <w:p>
      <w:pPr>
        <w:pStyle w:val="BodyText"/>
        <w:keepNext w:val="false"/>
        <w:pageBreakBefore w:val="false"/>
        <w:widowControl/>
        <w:pBdr/>
        <w:bidi w:val="0"/>
        <w:spacing w:lineRule="auto" w:line="274" w:before="0" w:after="0"/>
        <w:ind w:hanging="0" w:start="0" w:end="0"/>
        <w:jc w:val="start"/>
        <w:rPr>
          <w:rFonts w:ascii="Google Sans Text;sans-serif" w:hAnsi="Google Sans Text;sans-serif"/>
          <w:color w:val="1F1F1F"/>
        </w:rPr>
      </w:pPr>
      <w:bookmarkStart w:id="22" w:name="p-c_32c37600b701ae76_69209a07-934a-4381m"/>
      <w:bookmarkEnd w:id="22"/>
      <w:r>
        <w:rPr>
          <w:rFonts w:ascii="Google Sans Text;sans-serif" w:hAnsi="Google Sans Text;sans-serif"/>
          <w:color w:val="1F1F1F"/>
        </w:rPr>
        <w:t>The following addresses the standard peer-review questions required for international submission.</w:t>
      </w:r>
    </w:p>
    <w:p>
      <w:pPr>
        <w:pStyle w:val="Heading3"/>
        <w:keepNext w:val="false"/>
        <w:pageBreakBefore w:val="false"/>
        <w:widowControl/>
        <w:pBdr/>
        <w:bidi w:val="0"/>
        <w:spacing w:lineRule="auto" w:line="274" w:before="0" w:after="120"/>
        <w:ind w:hanging="0" w:start="0" w:end="0"/>
        <w:jc w:val="start"/>
        <w:rPr>
          <w:rFonts w:ascii="Google Sans;sans-serif" w:hAnsi="Google Sans;sans-serif"/>
          <w:color w:val="1F1F1F"/>
        </w:rPr>
      </w:pPr>
      <w:r>
        <w:rPr>
          <w:rFonts w:ascii="Google Sans;sans-serif" w:hAnsi="Google Sans;sans-serif"/>
          <w:color w:val="1F1F1F"/>
        </w:rPr>
        <w:t>Q1: Revision Requests and Detailed Comments</w:t>
      </w:r>
    </w:p>
    <w:p>
      <w:pPr>
        <w:pStyle w:val="BodyText"/>
        <w:keepNext w:val="false"/>
        <w:pageBreakBefore w:val="false"/>
        <w:widowControl/>
        <w:pBdr/>
        <w:bidi w:val="0"/>
        <w:spacing w:lineRule="auto" w:line="274" w:before="0" w:after="0"/>
        <w:ind w:hanging="0" w:start="0" w:end="0"/>
        <w:jc w:val="start"/>
        <w:rPr>
          <w:rFonts w:ascii="Google Sans Text;sans-serif" w:hAnsi="Google Sans Text;sans-serif"/>
          <w:color w:val="1F1F1F"/>
        </w:rPr>
      </w:pPr>
      <w:bookmarkStart w:id="23" w:name="p-c_32c37600b701ae76_69209a07-934a-4381n"/>
      <w:bookmarkEnd w:id="23"/>
      <w:r>
        <w:rPr>
          <w:rFonts w:ascii="Google Sans Text;sans-serif" w:hAnsi="Google Sans Text;sans-serif"/>
          <w:color w:val="1F1F1F"/>
        </w:rPr>
        <w:t>The study's major strengths are conceptual novelty and the integration of diverse fields like CLT and SDT into a practical classroom mechanism. The primary limitation is the quasi-experimental design using different semesters, which introduces confounding cohort effects.</w:t>
      </w:r>
    </w:p>
    <w:p>
      <w:pPr>
        <w:pStyle w:val="BodyText"/>
        <w:keepNext w:val="false"/>
        <w:pageBreakBefore w:val="false"/>
        <w:widowControl/>
        <w:pBdr/>
        <w:bidi w:val="0"/>
        <w:spacing w:lineRule="auto" w:line="274" w:before="0" w:after="0"/>
        <w:ind w:hanging="0" w:start="0" w:end="0"/>
        <w:jc w:val="start"/>
        <w:rPr>
          <w:rFonts w:ascii="Google Sans Text;sans-serif" w:hAnsi="Google Sans Text;sans-serif"/>
          <w:b/>
          <w:color w:val="1F1F1F"/>
        </w:rPr>
      </w:pPr>
      <w:r>
        <w:rPr>
          <w:rFonts w:ascii="Google Sans Text;sans-serif" w:hAnsi="Google Sans Text;sans-serif"/>
          <w:b/>
          <w:color w:val="1F1F1F"/>
        </w:rPr>
        <w:t>Revision Requests:</w:t>
      </w:r>
    </w:p>
    <w:p>
      <w:pPr>
        <w:pStyle w:val="BodyText"/>
        <w:keepNext w:val="false"/>
        <w:pageBreakBefore w:val="false"/>
        <w:widowControl/>
        <w:numPr>
          <w:ilvl w:val="0"/>
          <w:numId w:val="1"/>
        </w:numPr>
        <w:pBdr/>
        <w:tabs>
          <w:tab w:val="clear" w:pos="709"/>
          <w:tab w:val="left" w:pos="0" w:leader="none"/>
        </w:tabs>
        <w:bidi w:val="0"/>
        <w:spacing w:lineRule="auto" w:line="274" w:before="0" w:after="0"/>
        <w:ind w:hanging="283" w:start="0" w:end="0"/>
        <w:jc w:val="start"/>
        <w:rPr>
          <w:rFonts w:ascii="Google Sans Text;sans-serif" w:hAnsi="Google Sans Text;sans-serif"/>
          <w:color w:val="1F1F1F"/>
        </w:rPr>
      </w:pPr>
      <w:bookmarkStart w:id="24" w:name="p-c_32c37600b701ae76_69209a07-934a-4381o"/>
      <w:bookmarkEnd w:id="24"/>
      <w:r>
        <w:rPr>
          <w:rFonts w:ascii="Google Sans Text;sans-serif" w:hAnsi="Google Sans Text;sans-serif"/>
          <w:color w:val="1F1F1F"/>
        </w:rPr>
        <w:t>Strengthen the methodology by relabeling the design accurately and acknowledging cohort effects as a limitation.</w:t>
      </w:r>
    </w:p>
    <w:p>
      <w:pPr>
        <w:pStyle w:val="BodyText"/>
        <w:keepNext w:val="false"/>
        <w:pageBreakBefore w:val="false"/>
        <w:widowControl/>
        <w:numPr>
          <w:ilvl w:val="0"/>
          <w:numId w:val="1"/>
        </w:numPr>
        <w:pBdr/>
        <w:tabs>
          <w:tab w:val="clear" w:pos="709"/>
          <w:tab w:val="left" w:pos="0" w:leader="none"/>
        </w:tabs>
        <w:bidi w:val="0"/>
        <w:spacing w:lineRule="auto" w:line="274" w:before="0" w:after="0"/>
        <w:ind w:hanging="283" w:start="0" w:end="0"/>
        <w:jc w:val="start"/>
        <w:rPr>
          <w:rFonts w:ascii="Google Sans Text;sans-serif" w:hAnsi="Google Sans Text;sans-serif"/>
          <w:color w:val="1F1F1F"/>
        </w:rPr>
      </w:pPr>
      <w:bookmarkStart w:id="25" w:name="p-c_32c37600b701ae76_69209a07-934a-4381p"/>
      <w:bookmarkEnd w:id="25"/>
      <w:r>
        <w:rPr>
          <w:rFonts w:ascii="Google Sans Text;sans-serif" w:hAnsi="Google Sans Text;sans-serif"/>
          <w:color w:val="1F1F1F"/>
        </w:rPr>
        <w:t>State the hypotheses explicitly in bullet points at the end of the introduction.</w:t>
      </w:r>
    </w:p>
    <w:p>
      <w:pPr>
        <w:pStyle w:val="BodyText"/>
        <w:keepNext w:val="false"/>
        <w:pageBreakBefore w:val="false"/>
        <w:widowControl/>
        <w:numPr>
          <w:ilvl w:val="0"/>
          <w:numId w:val="1"/>
        </w:numPr>
        <w:pBdr/>
        <w:tabs>
          <w:tab w:val="clear" w:pos="709"/>
          <w:tab w:val="left" w:pos="0" w:leader="none"/>
        </w:tabs>
        <w:bidi w:val="0"/>
        <w:spacing w:lineRule="auto" w:line="274" w:before="0" w:after="0"/>
        <w:ind w:hanging="283" w:start="0" w:end="0"/>
        <w:jc w:val="start"/>
        <w:rPr>
          <w:rFonts w:ascii="Google Sans Text;sans-serif" w:hAnsi="Google Sans Text;sans-serif"/>
          <w:color w:val="1F1F1F"/>
        </w:rPr>
      </w:pPr>
      <w:bookmarkStart w:id="26" w:name="p-c_32c37600b701ae76_69209a07-934a-4381q"/>
      <w:bookmarkEnd w:id="26"/>
      <w:r>
        <w:rPr>
          <w:rFonts w:ascii="Google Sans Text;sans-serif" w:hAnsi="Google Sans Text;sans-serif"/>
          <w:color w:val="1F1F1F"/>
        </w:rPr>
        <w:t>Simplify the conceptual framework by explaining the empirical integration of PUDAL and PSKVE more clearly.</w:t>
      </w:r>
    </w:p>
    <w:p>
      <w:pPr>
        <w:pStyle w:val="BodyText"/>
        <w:keepNext w:val="false"/>
        <w:pageBreakBefore w:val="false"/>
        <w:widowControl/>
        <w:numPr>
          <w:ilvl w:val="0"/>
          <w:numId w:val="1"/>
        </w:numPr>
        <w:pBdr/>
        <w:tabs>
          <w:tab w:val="clear" w:pos="709"/>
          <w:tab w:val="left" w:pos="0" w:leader="none"/>
        </w:tabs>
        <w:bidi w:val="0"/>
        <w:spacing w:lineRule="auto" w:line="274" w:before="0" w:after="0"/>
        <w:ind w:hanging="283" w:start="0" w:end="0"/>
        <w:jc w:val="start"/>
        <w:rPr>
          <w:rFonts w:ascii="Google Sans Text;sans-serif" w:hAnsi="Google Sans Text;sans-serif"/>
          <w:color w:val="1F1F1F"/>
        </w:rPr>
      </w:pPr>
      <w:bookmarkStart w:id="27" w:name="p-c_32c37600b701ae76_69209a07-934a-4381r"/>
      <w:bookmarkEnd w:id="27"/>
      <w:r>
        <w:rPr>
          <w:rFonts w:ascii="Google Sans Text;sans-serif" w:hAnsi="Google Sans Text;sans-serif"/>
          <w:color w:val="1F1F1F"/>
        </w:rPr>
        <w:t>Include demographic data for the 138 participants to control for pre-existing differences.</w:t>
      </w:r>
    </w:p>
    <w:p>
      <w:pPr>
        <w:pStyle w:val="BodyText"/>
        <w:keepNext w:val="false"/>
        <w:pageBreakBefore w:val="false"/>
        <w:widowControl/>
        <w:numPr>
          <w:ilvl w:val="0"/>
          <w:numId w:val="1"/>
        </w:numPr>
        <w:pBdr/>
        <w:tabs>
          <w:tab w:val="clear" w:pos="709"/>
          <w:tab w:val="left" w:pos="0" w:leader="none"/>
        </w:tabs>
        <w:bidi w:val="0"/>
        <w:spacing w:lineRule="auto" w:line="274" w:before="0" w:after="0"/>
        <w:ind w:hanging="283" w:start="0" w:end="0"/>
        <w:jc w:val="start"/>
        <w:rPr>
          <w:rFonts w:ascii="Google Sans Text;sans-serif" w:hAnsi="Google Sans Text;sans-serif"/>
          <w:color w:val="1F1F1F"/>
        </w:rPr>
      </w:pPr>
      <w:bookmarkStart w:id="28" w:name="p-c_32c37600b701ae76_69209a07-934a-4381s"/>
      <w:bookmarkEnd w:id="28"/>
      <w:r>
        <w:rPr>
          <w:rFonts w:ascii="Google Sans Text;sans-serif" w:hAnsi="Google Sans Text;sans-serif"/>
          <w:color w:val="1F1F1F"/>
        </w:rPr>
        <w:t>Perform an ANCOVA if baseline performance data (e.g., GPA) is available to control for initial ability.</w:t>
      </w:r>
    </w:p>
    <w:p>
      <w:pPr>
        <w:pStyle w:val="Heading3"/>
        <w:keepNext w:val="false"/>
        <w:pageBreakBefore w:val="false"/>
        <w:widowControl/>
        <w:pBdr/>
        <w:bidi w:val="0"/>
        <w:spacing w:lineRule="auto" w:line="274" w:before="0" w:after="120"/>
        <w:ind w:hanging="0" w:start="0" w:end="0"/>
        <w:jc w:val="start"/>
        <w:rPr>
          <w:rFonts w:ascii="Google Sans;sans-serif" w:hAnsi="Google Sans;sans-serif"/>
          <w:color w:val="1F1F1F"/>
        </w:rPr>
      </w:pPr>
      <w:r>
        <w:rPr>
          <w:rFonts w:ascii="Google Sans;sans-serif" w:hAnsi="Google Sans;sans-serif"/>
          <w:color w:val="1F1F1F"/>
        </w:rPr>
        <w:t>Q2: Check List (Technical Standards)</w:t>
      </w:r>
    </w:p>
    <w:p>
      <w:pPr>
        <w:sectPr>
          <w:type w:val="nextPage"/>
          <w:pgSz w:w="11906" w:h="16838"/>
          <w:pgMar w:left="1134" w:right="1134" w:gutter="0" w:header="0" w:top="1134" w:footer="0" w:bottom="1134"/>
          <w:pgNumType w:fmt="decimal"/>
          <w:formProt w:val="false"/>
          <w:textDirection w:val="lrTb"/>
        </w:sectPr>
      </w:pPr>
    </w:p>
    <w:tbl>
      <w:tblPr>
        <w:tblW w:w="9638" w:type="dxa"/>
        <w:jc w:val="start"/>
        <w:tblInd w:w="0" w:type="dxa"/>
        <w:tblLayout w:type="fixed"/>
        <w:tblCellMar>
          <w:top w:w="120" w:type="dxa"/>
          <w:start w:w="180" w:type="dxa"/>
          <w:bottom w:w="120" w:type="dxa"/>
          <w:end w:w="180" w:type="dxa"/>
        </w:tblCellMar>
      </w:tblPr>
      <w:tblGrid>
        <w:gridCol w:w="3104"/>
        <w:gridCol w:w="1319"/>
        <w:gridCol w:w="5215"/>
      </w:tblGrid>
      <w:tr>
        <w:trPr>
          <w:tblHeader w:val="true"/>
        </w:trPr>
        <w:tc>
          <w:tcPr>
            <w:tcW w:w="3104" w:type="dxa"/>
            <w:tcBorders>
              <w:top w:val="single" w:sz="2" w:space="0" w:color="000000"/>
              <w:start w:val="single" w:sz="2" w:space="0" w:color="000000"/>
              <w:bottom w:val="single" w:sz="2" w:space="0" w:color="000000"/>
              <w:end w:val="single" w:sz="2" w:space="0" w:color="000000"/>
            </w:tcBorders>
            <w:vAlign w:val="center"/>
          </w:tcPr>
          <w:p>
            <w:pPr>
              <w:pStyle w:val="TableContents"/>
              <w:keepNext w:val="false"/>
              <w:widowControl/>
              <w:bidi w:val="0"/>
              <w:spacing w:lineRule="auto" w:line="274" w:before="0" w:after="0"/>
              <w:ind w:hanging="0" w:start="0" w:end="0"/>
              <w:jc w:val="start"/>
              <w:rPr/>
            </w:pPr>
            <w:r>
              <w:rPr>
                <w:rStyle w:val="Strong"/>
                <w:rFonts w:ascii="Google Sans Text;sans-serif" w:hAnsi="Google Sans Text;sans-serif"/>
                <w:color w:val="1F1F1F"/>
              </w:rPr>
              <w:t>Item</w:t>
            </w:r>
          </w:p>
        </w:tc>
        <w:tc>
          <w:tcPr>
            <w:tcW w:w="1319" w:type="dxa"/>
            <w:tcBorders>
              <w:top w:val="single" w:sz="2" w:space="0" w:color="000000"/>
              <w:start w:val="single" w:sz="2" w:space="0" w:color="000000"/>
              <w:bottom w:val="single" w:sz="2" w:space="0" w:color="000000"/>
              <w:end w:val="single" w:sz="2" w:space="0" w:color="000000"/>
            </w:tcBorders>
            <w:vAlign w:val="center"/>
          </w:tcPr>
          <w:p>
            <w:pPr>
              <w:pStyle w:val="TableContents"/>
              <w:keepNext w:val="false"/>
              <w:widowControl/>
              <w:bidi w:val="0"/>
              <w:spacing w:lineRule="auto" w:line="274" w:before="0" w:after="0"/>
              <w:ind w:hanging="0" w:start="0" w:end="0"/>
              <w:jc w:val="start"/>
              <w:rPr/>
            </w:pPr>
            <w:r>
              <w:rPr>
                <w:rStyle w:val="Strong"/>
                <w:rFonts w:ascii="Google Sans Text;sans-serif" w:hAnsi="Google Sans Text;sans-serif"/>
                <w:color w:val="1F1F1F"/>
              </w:rPr>
              <w:t>Evaluation</w:t>
            </w:r>
          </w:p>
        </w:tc>
        <w:tc>
          <w:tcPr>
            <w:tcW w:w="5215" w:type="dxa"/>
            <w:tcBorders>
              <w:top w:val="single" w:sz="2" w:space="0" w:color="000000"/>
              <w:start w:val="single" w:sz="2" w:space="0" w:color="000000"/>
              <w:bottom w:val="single" w:sz="2" w:space="0" w:color="000000"/>
              <w:end w:val="single" w:sz="2" w:space="0" w:color="000000"/>
            </w:tcBorders>
            <w:vAlign w:val="center"/>
          </w:tcPr>
          <w:p>
            <w:pPr>
              <w:pStyle w:val="TableContents"/>
              <w:keepNext w:val="false"/>
              <w:widowControl/>
              <w:bidi w:val="0"/>
              <w:spacing w:lineRule="auto" w:line="274" w:before="0" w:after="0"/>
              <w:ind w:hanging="0" w:start="0" w:end="0"/>
              <w:jc w:val="start"/>
              <w:rPr/>
            </w:pPr>
            <w:r>
              <w:rPr>
                <w:rStyle w:val="Strong"/>
                <w:rFonts w:ascii="Google Sans Text;sans-serif" w:hAnsi="Google Sans Text;sans-serif"/>
                <w:color w:val="1F1F1F"/>
              </w:rPr>
              <w:t>Evidence/Note</w:t>
            </w:r>
          </w:p>
        </w:tc>
      </w:tr>
      <w:tr>
        <w:trPr/>
        <w:tc>
          <w:tcPr>
            <w:tcW w:w="3104" w:type="dxa"/>
            <w:tcBorders>
              <w:top w:val="single" w:sz="2" w:space="0" w:color="000000"/>
              <w:start w:val="single" w:sz="2" w:space="0" w:color="000000"/>
              <w:bottom w:val="single" w:sz="2" w:space="0" w:color="000000"/>
              <w:end w:val="single" w:sz="2" w:space="0" w:color="000000"/>
            </w:tcBorders>
            <w:vAlign w:val="center"/>
          </w:tcPr>
          <w:p>
            <w:pPr>
              <w:pStyle w:val="TableContents"/>
              <w:keepNext w:val="false"/>
              <w:widowControl/>
              <w:bidi w:val="0"/>
              <w:spacing w:lineRule="auto" w:line="274" w:before="0" w:after="0"/>
              <w:ind w:hanging="0" w:start="0" w:end="0"/>
              <w:jc w:val="start"/>
              <w:rPr>
                <w:rFonts w:ascii="Google Sans Text;sans-serif" w:hAnsi="Google Sans Text;sans-serif"/>
                <w:b/>
                <w:color w:val="1F1F1F"/>
              </w:rPr>
            </w:pPr>
            <w:r>
              <w:rPr>
                <w:rFonts w:ascii="Google Sans Text;sans-serif" w:hAnsi="Google Sans Text;sans-serif"/>
                <w:b/>
                <w:color w:val="1F1F1F"/>
              </w:rPr>
              <w:t>a. Quality of figures and tables satisfactory?</w:t>
            </w:r>
          </w:p>
        </w:tc>
        <w:tc>
          <w:tcPr>
            <w:tcW w:w="1319" w:type="dxa"/>
            <w:tcBorders>
              <w:top w:val="single" w:sz="2" w:space="0" w:color="000000"/>
              <w:start w:val="single" w:sz="2" w:space="0" w:color="000000"/>
              <w:bottom w:val="single" w:sz="2" w:space="0" w:color="000000"/>
              <w:end w:val="single" w:sz="2" w:space="0" w:color="000000"/>
            </w:tcBorders>
            <w:vAlign w:val="center"/>
          </w:tcPr>
          <w:p>
            <w:pPr>
              <w:pStyle w:val="TableContents"/>
              <w:keepNext w:val="false"/>
              <w:widowControl/>
              <w:bidi w:val="0"/>
              <w:spacing w:lineRule="auto" w:line="274" w:before="0" w:after="0"/>
              <w:ind w:hanging="0" w:start="0" w:end="0"/>
              <w:jc w:val="start"/>
              <w:rPr>
                <w:rFonts w:ascii="Google Sans Text;sans-serif" w:hAnsi="Google Sans Text;sans-serif"/>
                <w:b/>
                <w:color w:val="1F1F1F"/>
              </w:rPr>
            </w:pPr>
            <w:r>
              <w:rPr>
                <w:rFonts w:ascii="Google Sans Text;sans-serif" w:hAnsi="Google Sans Text;sans-serif"/>
                <w:b/>
                <w:color w:val="1F1F1F"/>
              </w:rPr>
              <w:t>Yes</w:t>
            </w:r>
          </w:p>
        </w:tc>
        <w:tc>
          <w:tcPr>
            <w:tcW w:w="5215" w:type="dxa"/>
            <w:tcBorders>
              <w:top w:val="single" w:sz="2" w:space="0" w:color="000000"/>
              <w:start w:val="single" w:sz="2" w:space="0" w:color="000000"/>
              <w:bottom w:val="single" w:sz="2" w:space="0" w:color="000000"/>
              <w:end w:val="single" w:sz="2" w:space="0" w:color="000000"/>
            </w:tcBorders>
            <w:vAlign w:val="center"/>
          </w:tcPr>
          <w:p>
            <w:pPr>
              <w:pStyle w:val="TableContents"/>
              <w:keepNext w:val="false"/>
              <w:widowControl/>
              <w:pBdr/>
              <w:bidi w:val="0"/>
              <w:spacing w:lineRule="auto" w:line="274" w:before="0" w:after="0"/>
              <w:ind w:hanging="0" w:start="0" w:end="0"/>
              <w:jc w:val="start"/>
              <w:rPr>
                <w:rFonts w:ascii="Google Sans Text;sans-serif" w:hAnsi="Google Sans Text;sans-serif" w:eastAsia="Google Sans Text;sans-serif" w:cs="Google Sans Text;sans-serif"/>
                <w:color w:val="1F1F1F"/>
              </w:rPr>
            </w:pPr>
            <w:r>
              <w:rPr>
                <w:rFonts w:ascii="Google Sans Text;sans-serif" w:hAnsi="Google Sans Text;sans-serif"/>
                <w:color w:val="1F1F1F"/>
              </w:rPr>
              <w:t>Tables 1 and 2 are highly informative; Figure 2 needs explicit Y-axis labeling.</w:t>
            </w:r>
          </w:p>
        </w:tc>
      </w:tr>
      <w:tr>
        <w:trPr/>
        <w:tc>
          <w:tcPr>
            <w:tcW w:w="3104" w:type="dxa"/>
            <w:tcBorders>
              <w:top w:val="single" w:sz="2" w:space="0" w:color="000000"/>
              <w:start w:val="single" w:sz="2" w:space="0" w:color="000000"/>
              <w:bottom w:val="single" w:sz="2" w:space="0" w:color="000000"/>
              <w:end w:val="single" w:sz="2" w:space="0" w:color="000000"/>
            </w:tcBorders>
            <w:vAlign w:val="center"/>
          </w:tcPr>
          <w:p>
            <w:pPr>
              <w:pStyle w:val="TableContents"/>
              <w:keepNext w:val="false"/>
              <w:widowControl/>
              <w:bidi w:val="0"/>
              <w:spacing w:lineRule="auto" w:line="274" w:before="0" w:after="0"/>
              <w:ind w:hanging="0" w:start="0" w:end="0"/>
              <w:jc w:val="start"/>
              <w:rPr>
                <w:rFonts w:ascii="Google Sans Text;sans-serif" w:hAnsi="Google Sans Text;sans-serif"/>
                <w:b/>
                <w:color w:val="1F1F1F"/>
              </w:rPr>
            </w:pPr>
            <w:r>
              <w:rPr>
                <w:rFonts w:ascii="Google Sans Text;sans-serif" w:hAnsi="Google Sans Text;sans-serif"/>
                <w:b/>
                <w:color w:val="1F1F1F"/>
              </w:rPr>
              <w:t>b. Reference list adequate and unbiased?</w:t>
            </w:r>
          </w:p>
        </w:tc>
        <w:tc>
          <w:tcPr>
            <w:tcW w:w="1319" w:type="dxa"/>
            <w:tcBorders>
              <w:top w:val="single" w:sz="2" w:space="0" w:color="000000"/>
              <w:start w:val="single" w:sz="2" w:space="0" w:color="000000"/>
              <w:bottom w:val="single" w:sz="2" w:space="0" w:color="000000"/>
              <w:end w:val="single" w:sz="2" w:space="0" w:color="000000"/>
            </w:tcBorders>
            <w:vAlign w:val="center"/>
          </w:tcPr>
          <w:p>
            <w:pPr>
              <w:pStyle w:val="TableContents"/>
              <w:keepNext w:val="false"/>
              <w:widowControl/>
              <w:bidi w:val="0"/>
              <w:spacing w:lineRule="auto" w:line="274" w:before="0" w:after="0"/>
              <w:ind w:hanging="0" w:start="0" w:end="0"/>
              <w:jc w:val="start"/>
              <w:rPr>
                <w:rFonts w:ascii="Google Sans Text;sans-serif" w:hAnsi="Google Sans Text;sans-serif"/>
                <w:b/>
                <w:color w:val="1F1F1F"/>
              </w:rPr>
            </w:pPr>
            <w:r>
              <w:rPr>
                <w:rFonts w:ascii="Google Sans Text;sans-serif" w:hAnsi="Google Sans Text;sans-serif"/>
                <w:b/>
                <w:color w:val="1F1F1F"/>
              </w:rPr>
              <w:t>Yes</w:t>
            </w:r>
          </w:p>
        </w:tc>
        <w:tc>
          <w:tcPr>
            <w:tcW w:w="5215" w:type="dxa"/>
            <w:tcBorders>
              <w:top w:val="single" w:sz="2" w:space="0" w:color="000000"/>
              <w:start w:val="single" w:sz="2" w:space="0" w:color="000000"/>
              <w:bottom w:val="single" w:sz="2" w:space="0" w:color="000000"/>
              <w:end w:val="single" w:sz="2" w:space="0" w:color="000000"/>
            </w:tcBorders>
            <w:vAlign w:val="center"/>
          </w:tcPr>
          <w:p>
            <w:pPr>
              <w:pStyle w:val="TableContents"/>
              <w:keepNext w:val="false"/>
              <w:widowControl/>
              <w:pBdr/>
              <w:bidi w:val="0"/>
              <w:spacing w:lineRule="auto" w:line="274" w:before="0" w:after="0"/>
              <w:ind w:hanging="0" w:start="0" w:end="0"/>
              <w:jc w:val="start"/>
              <w:rPr>
                <w:rFonts w:ascii="Google Sans Text;sans-serif" w:hAnsi="Google Sans Text;sans-serif" w:eastAsia="Google Sans Text;sans-serif" w:cs="Google Sans Text;sans-serif"/>
                <w:color w:val="1F1F1F"/>
              </w:rPr>
            </w:pPr>
            <w:r>
              <w:rPr>
                <w:rFonts w:ascii="Google Sans Text;sans-serif" w:hAnsi="Google Sans Text;sans-serif"/>
                <w:color w:val="1F1F1F"/>
              </w:rPr>
              <w:t>References cover current research and foundational theories through 2025.</w:t>
            </w:r>
          </w:p>
        </w:tc>
      </w:tr>
      <w:tr>
        <w:trPr/>
        <w:tc>
          <w:tcPr>
            <w:tcW w:w="3104" w:type="dxa"/>
            <w:tcBorders>
              <w:top w:val="single" w:sz="2" w:space="0" w:color="000000"/>
              <w:start w:val="single" w:sz="2" w:space="0" w:color="000000"/>
              <w:bottom w:val="single" w:sz="2" w:space="0" w:color="000000"/>
              <w:end w:val="single" w:sz="2" w:space="0" w:color="000000"/>
            </w:tcBorders>
            <w:vAlign w:val="center"/>
          </w:tcPr>
          <w:p>
            <w:pPr>
              <w:pStyle w:val="TableContents"/>
              <w:keepNext w:val="false"/>
              <w:widowControl/>
              <w:bidi w:val="0"/>
              <w:spacing w:lineRule="auto" w:line="274" w:before="0" w:after="0"/>
              <w:ind w:hanging="0" w:start="0" w:end="0"/>
              <w:jc w:val="start"/>
              <w:rPr>
                <w:rFonts w:ascii="Google Sans Text;sans-serif" w:hAnsi="Google Sans Text;sans-serif"/>
                <w:b/>
                <w:color w:val="1F1F1F"/>
              </w:rPr>
            </w:pPr>
            <w:r>
              <w:rPr>
                <w:rFonts w:ascii="Google Sans Text;sans-serif" w:hAnsi="Google Sans Text;sans-serif"/>
                <w:b/>
                <w:color w:val="1F1F1F"/>
              </w:rPr>
              <w:t>c. Statistical methods valid and correctly applied?</w:t>
            </w:r>
          </w:p>
        </w:tc>
        <w:tc>
          <w:tcPr>
            <w:tcW w:w="1319" w:type="dxa"/>
            <w:tcBorders>
              <w:top w:val="single" w:sz="2" w:space="0" w:color="000000"/>
              <w:start w:val="single" w:sz="2" w:space="0" w:color="000000"/>
              <w:bottom w:val="single" w:sz="2" w:space="0" w:color="000000"/>
              <w:end w:val="single" w:sz="2" w:space="0" w:color="000000"/>
            </w:tcBorders>
            <w:vAlign w:val="center"/>
          </w:tcPr>
          <w:p>
            <w:pPr>
              <w:pStyle w:val="TableContents"/>
              <w:keepNext w:val="false"/>
              <w:widowControl/>
              <w:bidi w:val="0"/>
              <w:spacing w:lineRule="auto" w:line="274" w:before="0" w:after="0"/>
              <w:ind w:hanging="0" w:start="0" w:end="0"/>
              <w:jc w:val="start"/>
              <w:rPr>
                <w:rFonts w:ascii="Google Sans Text;sans-serif" w:hAnsi="Google Sans Text;sans-serif"/>
                <w:b/>
                <w:color w:val="1F1F1F"/>
              </w:rPr>
            </w:pPr>
            <w:r>
              <w:rPr>
                <w:rFonts w:ascii="Google Sans Text;sans-serif" w:hAnsi="Google Sans Text;sans-serif"/>
                <w:b/>
                <w:color w:val="1F1F1F"/>
              </w:rPr>
              <w:t>Yes</w:t>
            </w:r>
          </w:p>
        </w:tc>
        <w:tc>
          <w:tcPr>
            <w:tcW w:w="5215" w:type="dxa"/>
            <w:tcBorders>
              <w:top w:val="single" w:sz="2" w:space="0" w:color="000000"/>
              <w:start w:val="single" w:sz="2" w:space="0" w:color="000000"/>
              <w:bottom w:val="single" w:sz="2" w:space="0" w:color="000000"/>
              <w:end w:val="single" w:sz="2" w:space="0" w:color="000000"/>
            </w:tcBorders>
            <w:vAlign w:val="center"/>
          </w:tcPr>
          <w:p>
            <w:pPr>
              <w:pStyle w:val="TableContents"/>
              <w:keepNext w:val="false"/>
              <w:widowControl/>
              <w:pBdr/>
              <w:bidi w:val="0"/>
              <w:spacing w:lineRule="auto" w:line="274" w:before="0" w:after="0"/>
              <w:ind w:hanging="0" w:start="0" w:end="0"/>
              <w:jc w:val="start"/>
              <w:rPr>
                <w:rFonts w:ascii="Google Sans Text;sans-serif" w:hAnsi="Google Sans Text;sans-serif" w:eastAsia="Google Sans Text;sans-serif" w:cs="Google Sans Text;sans-serif"/>
                <w:color w:val="1F1F1F"/>
              </w:rPr>
            </w:pPr>
            <w:r>
              <w:rPr>
                <w:rFonts w:ascii="Google Sans Text;sans-serif" w:hAnsi="Google Sans Text;sans-serif"/>
                <w:color w:val="1F1F1F"/>
              </w:rPr>
              <w:t>ANOVA and Tukey post-hoc tests are standard and appropriately applied.</w:t>
            </w:r>
          </w:p>
        </w:tc>
      </w:tr>
      <w:tr>
        <w:trPr/>
        <w:tc>
          <w:tcPr>
            <w:tcW w:w="3104" w:type="dxa"/>
            <w:tcBorders>
              <w:top w:val="single" w:sz="2" w:space="0" w:color="000000"/>
              <w:start w:val="single" w:sz="2" w:space="0" w:color="000000"/>
              <w:bottom w:val="single" w:sz="2" w:space="0" w:color="000000"/>
              <w:end w:val="single" w:sz="2" w:space="0" w:color="000000"/>
            </w:tcBorders>
            <w:vAlign w:val="center"/>
          </w:tcPr>
          <w:p>
            <w:pPr>
              <w:pStyle w:val="TableContents"/>
              <w:keepNext w:val="false"/>
              <w:widowControl/>
              <w:bidi w:val="0"/>
              <w:spacing w:lineRule="auto" w:line="274" w:before="0" w:after="0"/>
              <w:ind w:hanging="0" w:start="0" w:end="0"/>
              <w:jc w:val="start"/>
              <w:rPr>
                <w:rFonts w:ascii="Google Sans Text;sans-serif" w:hAnsi="Google Sans Text;sans-serif"/>
                <w:b/>
                <w:color w:val="1F1F1F"/>
              </w:rPr>
            </w:pPr>
            <w:r>
              <w:rPr>
                <w:rFonts w:ascii="Google Sans Text;sans-serif" w:hAnsi="Google Sans Text;sans-serif"/>
                <w:b/>
                <w:color w:val="1F1F1F"/>
              </w:rPr>
              <w:t>d. Statistician required for evaluation?</w:t>
            </w:r>
          </w:p>
        </w:tc>
        <w:tc>
          <w:tcPr>
            <w:tcW w:w="1319" w:type="dxa"/>
            <w:tcBorders>
              <w:top w:val="single" w:sz="2" w:space="0" w:color="000000"/>
              <w:start w:val="single" w:sz="2" w:space="0" w:color="000000"/>
              <w:bottom w:val="single" w:sz="2" w:space="0" w:color="000000"/>
              <w:end w:val="single" w:sz="2" w:space="0" w:color="000000"/>
            </w:tcBorders>
            <w:vAlign w:val="center"/>
          </w:tcPr>
          <w:p>
            <w:pPr>
              <w:pStyle w:val="TableContents"/>
              <w:keepNext w:val="false"/>
              <w:widowControl/>
              <w:bidi w:val="0"/>
              <w:spacing w:lineRule="auto" w:line="274" w:before="0" w:after="0"/>
              <w:ind w:hanging="0" w:start="0" w:end="0"/>
              <w:jc w:val="start"/>
              <w:rPr>
                <w:rFonts w:ascii="Google Sans Text;sans-serif" w:hAnsi="Google Sans Text;sans-serif"/>
                <w:b/>
                <w:color w:val="1F1F1F"/>
              </w:rPr>
            </w:pPr>
            <w:r>
              <w:rPr>
                <w:rFonts w:ascii="Google Sans Text;sans-serif" w:hAnsi="Google Sans Text;sans-serif"/>
                <w:b/>
                <w:color w:val="1F1F1F"/>
              </w:rPr>
              <w:t>No</w:t>
            </w:r>
          </w:p>
        </w:tc>
        <w:tc>
          <w:tcPr>
            <w:tcW w:w="5215" w:type="dxa"/>
            <w:tcBorders>
              <w:top w:val="single" w:sz="2" w:space="0" w:color="000000"/>
              <w:start w:val="single" w:sz="2" w:space="0" w:color="000000"/>
              <w:bottom w:val="single" w:sz="2" w:space="0" w:color="000000"/>
              <w:end w:val="single" w:sz="2" w:space="0" w:color="000000"/>
            </w:tcBorders>
            <w:vAlign w:val="center"/>
          </w:tcPr>
          <w:p>
            <w:pPr>
              <w:pStyle w:val="TableContents"/>
              <w:keepNext w:val="false"/>
              <w:widowControl/>
              <w:pBdr/>
              <w:bidi w:val="0"/>
              <w:spacing w:lineRule="auto" w:line="274" w:before="0" w:after="0"/>
              <w:ind w:hanging="0" w:start="0" w:end="0"/>
              <w:jc w:val="start"/>
              <w:rPr>
                <w:rFonts w:ascii="Google Sans Text;sans-serif" w:hAnsi="Google Sans Text;sans-serif" w:eastAsia="Google Sans Text;sans-serif" w:cs="Google Sans Text;sans-serif"/>
                <w:color w:val="1F1F1F"/>
              </w:rPr>
            </w:pPr>
            <w:r>
              <w:rPr>
                <w:rFonts w:ascii="Google Sans Text;sans-serif" w:hAnsi="Google Sans Text;sans-serif"/>
                <w:color w:val="1F1F1F"/>
              </w:rPr>
              <w:t>Reviewer 2 suggests a statistician is not required, as methods are standard, though Reviewer 1 suggested otherwise.</w:t>
            </w:r>
          </w:p>
        </w:tc>
      </w:tr>
      <w:tr>
        <w:trPr/>
        <w:tc>
          <w:tcPr>
            <w:tcW w:w="3104" w:type="dxa"/>
            <w:tcBorders>
              <w:top w:val="single" w:sz="2" w:space="0" w:color="000000"/>
              <w:start w:val="single" w:sz="2" w:space="0" w:color="000000"/>
              <w:bottom w:val="single" w:sz="2" w:space="0" w:color="000000"/>
              <w:end w:val="single" w:sz="2" w:space="0" w:color="000000"/>
            </w:tcBorders>
            <w:vAlign w:val="center"/>
          </w:tcPr>
          <w:p>
            <w:pPr>
              <w:pStyle w:val="TableContents"/>
              <w:keepNext w:val="false"/>
              <w:widowControl/>
              <w:bidi w:val="0"/>
              <w:spacing w:lineRule="auto" w:line="274" w:before="0" w:after="0"/>
              <w:ind w:hanging="0" w:start="0" w:end="0"/>
              <w:jc w:val="start"/>
              <w:rPr>
                <w:rFonts w:ascii="Google Sans Text;sans-serif" w:hAnsi="Google Sans Text;sans-serif"/>
                <w:b/>
                <w:color w:val="1F1F1F"/>
              </w:rPr>
            </w:pPr>
            <w:r>
              <w:rPr>
                <w:rFonts w:ascii="Google Sans Text;sans-serif" w:hAnsi="Google Sans Text;sans-serif"/>
                <w:b/>
                <w:color w:val="1F1F1F"/>
              </w:rPr>
              <w:t>e. Sufficient documentation for replication?</w:t>
            </w:r>
          </w:p>
        </w:tc>
        <w:tc>
          <w:tcPr>
            <w:tcW w:w="1319" w:type="dxa"/>
            <w:tcBorders>
              <w:top w:val="single" w:sz="2" w:space="0" w:color="000000"/>
              <w:start w:val="single" w:sz="2" w:space="0" w:color="000000"/>
              <w:bottom w:val="single" w:sz="2" w:space="0" w:color="000000"/>
              <w:end w:val="single" w:sz="2" w:space="0" w:color="000000"/>
            </w:tcBorders>
            <w:vAlign w:val="center"/>
          </w:tcPr>
          <w:p>
            <w:pPr>
              <w:pStyle w:val="TableContents"/>
              <w:keepNext w:val="false"/>
              <w:widowControl/>
              <w:bidi w:val="0"/>
              <w:spacing w:lineRule="auto" w:line="274" w:before="0" w:after="0"/>
              <w:ind w:hanging="0" w:start="0" w:end="0"/>
              <w:jc w:val="start"/>
              <w:rPr>
                <w:rFonts w:ascii="Google Sans Text;sans-serif" w:hAnsi="Google Sans Text;sans-serif"/>
                <w:b/>
                <w:color w:val="1F1F1F"/>
              </w:rPr>
            </w:pPr>
            <w:r>
              <w:rPr>
                <w:rFonts w:ascii="Google Sans Text;sans-serif" w:hAnsi="Google Sans Text;sans-serif"/>
                <w:b/>
                <w:color w:val="1F1F1F"/>
              </w:rPr>
              <w:t>Yes</w:t>
            </w:r>
          </w:p>
        </w:tc>
        <w:tc>
          <w:tcPr>
            <w:tcW w:w="5215" w:type="dxa"/>
            <w:tcBorders>
              <w:top w:val="single" w:sz="2" w:space="0" w:color="000000"/>
              <w:start w:val="single" w:sz="2" w:space="0" w:color="000000"/>
              <w:bottom w:val="single" w:sz="2" w:space="0" w:color="000000"/>
              <w:end w:val="single" w:sz="2" w:space="0" w:color="000000"/>
            </w:tcBorders>
            <w:vAlign w:val="center"/>
          </w:tcPr>
          <w:p>
            <w:pPr>
              <w:pStyle w:val="TableContents"/>
              <w:keepNext w:val="false"/>
              <w:widowControl/>
              <w:pBdr/>
              <w:bidi w:val="0"/>
              <w:spacing w:lineRule="auto" w:line="274" w:before="0" w:after="0"/>
              <w:ind w:hanging="0" w:start="0" w:end="0"/>
              <w:jc w:val="start"/>
              <w:rPr>
                <w:rFonts w:ascii="Google Sans Text;sans-serif" w:hAnsi="Google Sans Text;sans-serif" w:eastAsia="Google Sans Text;sans-serif" w:cs="Google Sans Text;sans-serif"/>
                <w:color w:val="1F1F1F"/>
              </w:rPr>
            </w:pPr>
            <w:r>
              <w:rPr>
                <w:rFonts w:ascii="Google Sans Text;sans-serif" w:hAnsi="Google Sans Text;sans-serif"/>
                <w:color w:val="1F1F1F"/>
              </w:rPr>
              <w:t>The three implementation keyways are detailed enough to allow for replication.</w:t>
            </w:r>
          </w:p>
        </w:tc>
      </w:tr>
    </w:tbl>
    <w:p>
      <w:pPr>
        <w:pStyle w:val="BodyText"/>
        <w:bidi w:val="0"/>
        <w:jc w:val="start"/>
        <w:rPr/>
      </w:pPr>
      <w:r>
        <w:rPr/>
      </w:r>
    </w:p>
    <w:p>
      <w:pPr>
        <w:sectPr>
          <w:type w:val="continuous"/>
          <w:pgSz w:w="11906" w:h="16838"/>
          <w:pgMar w:left="1134" w:right="1134" w:gutter="0" w:header="0" w:top="1134" w:footer="0" w:bottom="1134"/>
          <w:formProt w:val="false"/>
          <w:textDirection w:val="lrTb"/>
        </w:sectPr>
      </w:pPr>
    </w:p>
    <w:p>
      <w:pPr>
        <w:pStyle w:val="Heading3"/>
        <w:keepNext w:val="false"/>
        <w:pageBreakBefore w:val="false"/>
        <w:widowControl/>
        <w:pBdr/>
        <w:bidi w:val="0"/>
        <w:spacing w:lineRule="auto" w:line="274" w:before="0" w:after="120"/>
        <w:ind w:hanging="0" w:start="0" w:end="0"/>
        <w:jc w:val="start"/>
        <w:rPr>
          <w:rFonts w:ascii="Google Sans;sans-serif" w:hAnsi="Google Sans;sans-serif"/>
          <w:color w:val="1F1F1F"/>
        </w:rPr>
      </w:pPr>
      <w:r>
        <w:rPr>
          <w:rFonts w:ascii="Google Sans;sans-serif" w:hAnsi="Google Sans;sans-serif"/>
          <w:color w:val="1F1F1F"/>
        </w:rPr>
        <w:t>Q3: Rigor (Score 4/5)</w:t>
      </w:r>
    </w:p>
    <w:p>
      <w:pPr>
        <w:pStyle w:val="BodyText"/>
        <w:keepNext w:val="false"/>
        <w:pageBreakBefore w:val="false"/>
        <w:widowControl/>
        <w:pBdr/>
        <w:bidi w:val="0"/>
        <w:spacing w:lineRule="auto" w:line="274" w:before="0" w:after="0"/>
        <w:ind w:hanging="0" w:start="0" w:end="0"/>
        <w:jc w:val="start"/>
        <w:rPr>
          <w:rFonts w:ascii="Google Sans Text;sans-serif" w:hAnsi="Google Sans Text;sans-serif"/>
          <w:color w:val="1F1F1F"/>
        </w:rPr>
      </w:pPr>
      <w:bookmarkStart w:id="29" w:name="p-c_32c37600b701ae76_69209a07-934a-4381t"/>
      <w:bookmarkEnd w:id="29"/>
      <w:r>
        <w:rPr>
          <w:rFonts w:ascii="Google Sans Text;sans-serif" w:hAnsi="Google Sans Text;sans-serif"/>
          <w:color w:val="1F1F1F"/>
        </w:rPr>
        <w:t>The study adheres strictly to the theoretical logic of its chosen frameworks. The score is slightly reduced because the lack of random assignment and pre-testing limits the strictness of the causal claims.</w:t>
      </w:r>
    </w:p>
    <w:p>
      <w:pPr>
        <w:pStyle w:val="Heading3"/>
        <w:keepNext w:val="false"/>
        <w:pageBreakBefore w:val="false"/>
        <w:widowControl/>
        <w:pBdr/>
        <w:bidi w:val="0"/>
        <w:spacing w:lineRule="auto" w:line="274" w:before="0" w:after="120"/>
        <w:ind w:hanging="0" w:start="0" w:end="0"/>
        <w:jc w:val="start"/>
        <w:rPr>
          <w:rFonts w:ascii="Google Sans;sans-serif" w:hAnsi="Google Sans;sans-serif"/>
          <w:color w:val="1F1F1F"/>
        </w:rPr>
      </w:pPr>
      <w:r>
        <w:rPr>
          <w:rFonts w:ascii="Google Sans;sans-serif" w:hAnsi="Google Sans;sans-serif"/>
          <w:color w:val="1F1F1F"/>
        </w:rPr>
        <w:t>Q4: Quality of the Writing (Score 4/5)</w:t>
      </w:r>
    </w:p>
    <w:p>
      <w:pPr>
        <w:pStyle w:val="BodyText"/>
        <w:keepNext w:val="false"/>
        <w:pageBreakBefore w:val="false"/>
        <w:widowControl/>
        <w:pBdr/>
        <w:bidi w:val="0"/>
        <w:spacing w:lineRule="auto" w:line="274" w:before="0" w:after="0"/>
        <w:ind w:hanging="0" w:start="0" w:end="0"/>
        <w:jc w:val="start"/>
        <w:rPr>
          <w:rFonts w:ascii="Google Sans Text;sans-serif" w:hAnsi="Google Sans Text;sans-serif"/>
          <w:color w:val="1F1F1F"/>
        </w:rPr>
      </w:pPr>
      <w:bookmarkStart w:id="30" w:name="p-c_32c37600b701ae76_69209a07-934a-4381u"/>
      <w:bookmarkEnd w:id="30"/>
      <w:r>
        <w:rPr>
          <w:rFonts w:ascii="Google Sans Text;sans-serif" w:hAnsi="Google Sans Text;sans-serif"/>
          <w:color w:val="1F1F1F"/>
        </w:rPr>
        <w:t>The prose is clear, professional, and well-structured. The conclusion is slightly repetitive, and the citation density in the introduction needs thinning to improve the narrative flow.</w:t>
      </w:r>
    </w:p>
    <w:p>
      <w:pPr>
        <w:pStyle w:val="Heading3"/>
        <w:keepNext w:val="false"/>
        <w:pageBreakBefore w:val="false"/>
        <w:widowControl/>
        <w:pBdr/>
        <w:bidi w:val="0"/>
        <w:spacing w:lineRule="auto" w:line="274" w:before="0" w:after="120"/>
        <w:ind w:hanging="0" w:start="0" w:end="0"/>
        <w:jc w:val="start"/>
        <w:rPr>
          <w:rFonts w:ascii="Google Sans;sans-serif" w:hAnsi="Google Sans;sans-serif"/>
          <w:color w:val="1F1F1F"/>
        </w:rPr>
      </w:pPr>
      <w:r>
        <w:rPr>
          <w:rFonts w:ascii="Google Sans;sans-serif" w:hAnsi="Google Sans;sans-serif"/>
          <w:color w:val="1F1F1F"/>
        </w:rPr>
        <w:t>Q5: Overall Quality of Content (Score 5/5)</w:t>
      </w:r>
    </w:p>
    <w:p>
      <w:pPr>
        <w:pStyle w:val="BodyText"/>
        <w:keepNext w:val="false"/>
        <w:pageBreakBefore w:val="false"/>
        <w:widowControl/>
        <w:pBdr/>
        <w:bidi w:val="0"/>
        <w:spacing w:lineRule="auto" w:line="274" w:before="0" w:after="0"/>
        <w:ind w:hanging="0" w:start="0" w:end="0"/>
        <w:jc w:val="start"/>
        <w:rPr>
          <w:rFonts w:ascii="Google Sans Text;sans-serif" w:hAnsi="Google Sans Text;sans-serif"/>
          <w:color w:val="1F1F1F"/>
        </w:rPr>
      </w:pPr>
      <w:bookmarkStart w:id="31" w:name="p-c_32c37600b701ae76_69209a07-934a-4381v"/>
      <w:bookmarkEnd w:id="31"/>
      <w:r>
        <w:rPr>
          <w:rFonts w:ascii="Google Sans Text;sans-serif" w:hAnsi="Google Sans Text;sans-serif"/>
          <w:color w:val="1F1F1F"/>
        </w:rPr>
        <w:t>The holistic value of the research is exceptional. It provides a substantive solution to a global problem in engineering education, offering highly significant findings regarding score variance reduction.</w:t>
      </w:r>
    </w:p>
    <w:p>
      <w:pPr>
        <w:pStyle w:val="Heading3"/>
        <w:keepNext w:val="false"/>
        <w:pageBreakBefore w:val="false"/>
        <w:widowControl/>
        <w:pBdr/>
        <w:bidi w:val="0"/>
        <w:spacing w:lineRule="auto" w:line="274" w:before="0" w:after="120"/>
        <w:ind w:hanging="0" w:start="0" w:end="0"/>
        <w:jc w:val="start"/>
        <w:rPr>
          <w:rFonts w:ascii="Google Sans;sans-serif" w:hAnsi="Google Sans;sans-serif"/>
          <w:color w:val="1F1F1F"/>
        </w:rPr>
      </w:pPr>
      <w:r>
        <w:rPr>
          <w:rFonts w:ascii="Google Sans;sans-serif" w:hAnsi="Google Sans;sans-serif"/>
          <w:color w:val="1F1F1F"/>
        </w:rPr>
        <w:t>Q6: Interest to a General Audience (Score 4/5)</w:t>
      </w:r>
    </w:p>
    <w:p>
      <w:pPr>
        <w:pStyle w:val="BodyText"/>
        <w:keepNext w:val="false"/>
        <w:pageBreakBefore w:val="false"/>
        <w:widowControl/>
        <w:pBdr/>
        <w:bidi w:val="0"/>
        <w:spacing w:lineRule="auto" w:line="274" w:before="0" w:after="0"/>
        <w:ind w:hanging="0" w:start="0" w:end="0"/>
        <w:jc w:val="start"/>
        <w:rPr>
          <w:rFonts w:ascii="Google Sans Text;sans-serif" w:hAnsi="Google Sans Text;sans-serif"/>
          <w:color w:val="1F1F1F"/>
        </w:rPr>
      </w:pPr>
      <w:bookmarkStart w:id="32" w:name="p-c_32c37600b701ae76_69209a07-934a-4381w"/>
      <w:bookmarkEnd w:id="32"/>
      <w:r>
        <w:rPr>
          <w:rFonts w:ascii="Google Sans Text;sans-serif" w:hAnsi="Google Sans Text;sans-serif"/>
          <w:color w:val="1F1F1F"/>
        </w:rPr>
        <w:t>The potential appeal of the study is high, as the challenges of AI automation and professional identity are relevant beyond the engineering discipline.</w:t>
      </w:r>
    </w:p>
    <w:p>
      <w:pPr>
        <w:pStyle w:val="Heading2"/>
        <w:keepNext w:val="false"/>
        <w:pageBreakBefore w:val="false"/>
        <w:widowControl/>
        <w:pBdr/>
        <w:bidi w:val="0"/>
        <w:spacing w:lineRule="auto" w:line="274" w:before="0" w:after="120"/>
        <w:ind w:hanging="0" w:start="0" w:end="0"/>
        <w:jc w:val="start"/>
        <w:rPr>
          <w:rFonts w:ascii="Google Sans;sans-serif" w:hAnsi="Google Sans;sans-serif"/>
          <w:color w:val="1F1F1F"/>
        </w:rPr>
      </w:pPr>
      <w:r>
        <w:rPr>
          <w:rFonts w:ascii="Google Sans;sans-serif" w:hAnsi="Google Sans;sans-serif"/>
          <w:color w:val="1F1F1F"/>
        </w:rPr>
        <w:t>Evaluation of Reviewer Comments and Publication Chance</w:t>
      </w:r>
    </w:p>
    <w:p>
      <w:pPr>
        <w:pStyle w:val="BodyText"/>
        <w:keepNext w:val="false"/>
        <w:pageBreakBefore w:val="false"/>
        <w:widowControl/>
        <w:pBdr/>
        <w:bidi w:val="0"/>
        <w:spacing w:lineRule="auto" w:line="274" w:before="0" w:after="0"/>
        <w:ind w:hanging="0" w:start="0" w:end="0"/>
        <w:jc w:val="start"/>
        <w:rPr>
          <w:rFonts w:ascii="Google Sans Text;sans-serif" w:hAnsi="Google Sans Text;sans-serif"/>
          <w:color w:val="1F1F1F"/>
        </w:rPr>
      </w:pPr>
      <w:bookmarkStart w:id="33" w:name="p-c_32c37600b701ae76_69209a07-934a-4381x"/>
      <w:bookmarkEnd w:id="33"/>
      <w:r>
        <w:rPr>
          <w:rFonts w:ascii="Google Sans Text;sans-serif" w:hAnsi="Google Sans Text;sans-serif"/>
          <w:color w:val="1F1F1F"/>
        </w:rPr>
        <w:t>The manuscript received comments from two expert reviewers, resulting in a decision of "Major Revision".</w:t>
      </w:r>
    </w:p>
    <w:p>
      <w:pPr>
        <w:pStyle w:val="Heading3"/>
        <w:keepNext w:val="false"/>
        <w:pageBreakBefore w:val="false"/>
        <w:widowControl/>
        <w:pBdr/>
        <w:bidi w:val="0"/>
        <w:spacing w:lineRule="auto" w:line="274" w:before="0" w:after="120"/>
        <w:ind w:hanging="0" w:start="0" w:end="0"/>
        <w:jc w:val="start"/>
        <w:rPr>
          <w:rFonts w:ascii="Google Sans;sans-serif" w:hAnsi="Google Sans;sans-serif"/>
          <w:color w:val="1F1F1F"/>
        </w:rPr>
      </w:pPr>
      <w:r>
        <w:rPr>
          <w:rFonts w:ascii="Google Sans;sans-serif" w:hAnsi="Google Sans;sans-serif"/>
          <w:color w:val="1F1F1F"/>
        </w:rPr>
        <w:t>Reviewer 1 Assessment</w:t>
      </w:r>
    </w:p>
    <w:p>
      <w:pPr>
        <w:pStyle w:val="BodyText"/>
        <w:keepNext w:val="false"/>
        <w:pageBreakBefore w:val="false"/>
        <w:widowControl/>
        <w:pBdr/>
        <w:bidi w:val="0"/>
        <w:spacing w:lineRule="auto" w:line="274" w:before="0" w:after="0"/>
        <w:ind w:hanging="0" w:start="0" w:end="0"/>
        <w:jc w:val="start"/>
        <w:rPr>
          <w:rFonts w:ascii="Google Sans Text;sans-serif" w:hAnsi="Google Sans Text;sans-serif"/>
          <w:color w:val="1F1F1F"/>
        </w:rPr>
      </w:pPr>
      <w:bookmarkStart w:id="34" w:name="p-c_32c37600b701ae76_69209a07-934a-4381y"/>
      <w:bookmarkEnd w:id="34"/>
      <w:r>
        <w:rPr>
          <w:rFonts w:ascii="Google Sans Text;sans-serif" w:hAnsi="Google Sans Text;sans-serif"/>
          <w:color w:val="1F1F1F"/>
        </w:rPr>
        <w:t>Reviewer 1 identifies the framework as "timely and original" and praises the "practical classroom mechanisms". However, they highlight the "modest effect size" and "insufficient direct measurement of motivation and cognitive load" as notable weaknesses. Their rating of 3/5 for content quality suggests they find the current empirical evidence promising but thin.</w:t>
      </w:r>
    </w:p>
    <w:p>
      <w:pPr>
        <w:pStyle w:val="Heading3"/>
        <w:keepNext w:val="false"/>
        <w:pageBreakBefore w:val="false"/>
        <w:widowControl/>
        <w:pBdr/>
        <w:bidi w:val="0"/>
        <w:spacing w:lineRule="auto" w:line="274" w:before="0" w:after="120"/>
        <w:ind w:hanging="0" w:start="0" w:end="0"/>
        <w:jc w:val="start"/>
        <w:rPr>
          <w:rFonts w:ascii="Google Sans;sans-serif" w:hAnsi="Google Sans;sans-serif"/>
          <w:color w:val="1F1F1F"/>
        </w:rPr>
      </w:pPr>
      <w:r>
        <w:rPr>
          <w:rFonts w:ascii="Google Sans;sans-serif" w:hAnsi="Google Sans;sans-serif"/>
          <w:color w:val="1F1F1F"/>
        </w:rPr>
        <w:t>Reviewer 2 Assessment</w:t>
      </w:r>
    </w:p>
    <w:p>
      <w:pPr>
        <w:pStyle w:val="BodyText"/>
        <w:keepNext w:val="false"/>
        <w:pageBreakBefore w:val="false"/>
        <w:widowControl/>
        <w:pBdr/>
        <w:bidi w:val="0"/>
        <w:spacing w:lineRule="auto" w:line="274" w:before="0" w:after="0"/>
        <w:ind w:hanging="0" w:start="0" w:end="0"/>
        <w:jc w:val="start"/>
        <w:rPr>
          <w:rFonts w:ascii="Google Sans Text;sans-serif" w:hAnsi="Google Sans Text;sans-serif"/>
          <w:color w:val="1F1F1F"/>
        </w:rPr>
      </w:pPr>
      <w:bookmarkStart w:id="35" w:name="p-c_32c37600b701ae76_69209a07-934a-4381z"/>
      <w:bookmarkEnd w:id="35"/>
      <w:r>
        <w:rPr>
          <w:rFonts w:ascii="Google Sans Text;sans-serif" w:hAnsi="Google Sans Text;sans-serif"/>
          <w:color w:val="1F1F1F"/>
        </w:rPr>
        <w:t>Reviewer 2 provides a more detailed methodological critique, citing "serious weaknesses" in design and the validity of specific claims. They flag the lack of a pretest and randomization as primary failures. They also criticize the "over-theorization" and the lack of a conceptual model mapping the connections between PUDAL and PSKVE.</w:t>
      </w:r>
    </w:p>
    <w:p>
      <w:pPr>
        <w:pStyle w:val="Heading3"/>
        <w:keepNext w:val="false"/>
        <w:pageBreakBefore w:val="false"/>
        <w:widowControl/>
        <w:pBdr/>
        <w:bidi w:val="0"/>
        <w:spacing w:lineRule="auto" w:line="274" w:before="0" w:after="120"/>
        <w:ind w:hanging="0" w:start="0" w:end="0"/>
        <w:jc w:val="start"/>
        <w:rPr>
          <w:rFonts w:ascii="Google Sans;sans-serif" w:hAnsi="Google Sans;sans-serif"/>
          <w:color w:val="1F1F1F"/>
        </w:rPr>
      </w:pPr>
      <w:r>
        <w:rPr>
          <w:rFonts w:ascii="Google Sans;sans-serif" w:hAnsi="Google Sans;sans-serif"/>
          <w:color w:val="1F1F1F"/>
        </w:rPr>
        <w:t>Publication Chance and Best Response Strategies</w:t>
      </w:r>
    </w:p>
    <w:p>
      <w:pPr>
        <w:pStyle w:val="BodyText"/>
        <w:keepNext w:val="false"/>
        <w:pageBreakBefore w:val="false"/>
        <w:widowControl/>
        <w:pBdr/>
        <w:bidi w:val="0"/>
        <w:spacing w:lineRule="auto" w:line="274" w:before="0" w:after="0"/>
        <w:ind w:hanging="0" w:start="0" w:end="0"/>
        <w:jc w:val="start"/>
        <w:rPr>
          <w:rFonts w:ascii="Google Sans Text;sans-serif" w:hAnsi="Google Sans Text;sans-serif"/>
          <w:color w:val="1F1F1F"/>
        </w:rPr>
      </w:pPr>
      <w:bookmarkStart w:id="36" w:name="p-c_32c37600b701ae76_69209a07-934a-43810"/>
      <w:bookmarkEnd w:id="36"/>
      <w:r>
        <w:rPr>
          <w:rFonts w:ascii="Google Sans Text;sans-serif" w:hAnsi="Google Sans Text;sans-serif"/>
          <w:color w:val="1F1F1F"/>
        </w:rPr>
        <w:t xml:space="preserve">The publication chance is </w:t>
      </w:r>
      <w:r>
        <w:rPr>
          <w:rFonts w:ascii="Google Sans Text;sans-serif" w:hAnsi="Google Sans Text;sans-serif"/>
          <w:b/>
          <w:color w:val="1F1F1F"/>
        </w:rPr>
        <w:t>moderate-to-high</w:t>
      </w:r>
      <w:r>
        <w:rPr>
          <w:rFonts w:ascii="Google Sans Text;sans-serif" w:hAnsi="Google Sans Text;sans-serif"/>
          <w:color w:val="1F1F1F"/>
        </w:rPr>
        <w:t>, provided the authors adopt a strategy of "Statistical Honesty" and "Methodological Transparency." The conceptual novelty is the manuscript's strongest asset and is likely what earned the 5/5 content score from Reviewer 2.</w:t>
      </w:r>
    </w:p>
    <w:p>
      <w:pPr>
        <w:pStyle w:val="BodyText"/>
        <w:keepNext w:val="false"/>
        <w:pageBreakBefore w:val="false"/>
        <w:widowControl/>
        <w:pBdr/>
        <w:bidi w:val="0"/>
        <w:spacing w:lineRule="auto" w:line="274" w:before="0" w:after="0"/>
        <w:ind w:hanging="0" w:start="0" w:end="0"/>
        <w:jc w:val="start"/>
        <w:rPr>
          <w:rFonts w:ascii="Google Sans Text;sans-serif" w:hAnsi="Google Sans Text;sans-serif"/>
          <w:b/>
          <w:color w:val="1F1F1F"/>
        </w:rPr>
      </w:pPr>
      <w:r>
        <w:rPr>
          <w:rFonts w:ascii="Google Sans Text;sans-serif" w:hAnsi="Google Sans Text;sans-serif"/>
          <w:b/>
          <w:color w:val="1F1F1F"/>
        </w:rPr>
        <w:t>Best Response Strategies:</w:t>
      </w:r>
    </w:p>
    <w:p>
      <w:pPr>
        <w:pStyle w:val="BodyText"/>
        <w:keepNext w:val="false"/>
        <w:pageBreakBefore w:val="false"/>
        <w:widowControl/>
        <w:numPr>
          <w:ilvl w:val="0"/>
          <w:numId w:val="2"/>
        </w:numPr>
        <w:pBdr/>
        <w:tabs>
          <w:tab w:val="clear" w:pos="709"/>
          <w:tab w:val="left" w:pos="0" w:leader="none"/>
        </w:tabs>
        <w:bidi w:val="0"/>
        <w:spacing w:lineRule="auto" w:line="274" w:before="0" w:after="0"/>
        <w:ind w:hanging="283" w:start="0" w:end="0"/>
        <w:jc w:val="start"/>
        <w:rPr>
          <w:rFonts w:ascii="Google Sans Text;sans-serif" w:hAnsi="Google Sans Text;sans-serif"/>
          <w:color w:val="1F1F1F"/>
        </w:rPr>
      </w:pPr>
      <w:bookmarkStart w:id="37" w:name="p-c_32c37600b701ae76_69209a07-934a-43820"/>
      <w:bookmarkEnd w:id="37"/>
      <w:r>
        <w:rPr>
          <w:rFonts w:ascii="Google Sans Text;sans-serif" w:hAnsi="Google Sans Text;sans-serif"/>
          <w:b/>
          <w:color w:val="1F1F1F"/>
        </w:rPr>
        <w:t>Reframing the Design:</w:t>
      </w:r>
      <w:r>
        <w:rPr>
          <w:rFonts w:ascii="Google Sans Text;sans-serif" w:hAnsi="Google Sans Text;sans-serif"/>
          <w:color w:val="1F1F1F"/>
        </w:rPr>
        <w:t xml:space="preserve"> The authors should not try to defend the study as a true experiment. They must relabel it as a quasi-experimental posttest-only design and discuss the "cohort effect" as a primary threat to validity.</w:t>
      </w:r>
    </w:p>
    <w:p>
      <w:pPr>
        <w:pStyle w:val="BodyText"/>
        <w:keepNext w:val="false"/>
        <w:pageBreakBefore w:val="false"/>
        <w:widowControl/>
        <w:numPr>
          <w:ilvl w:val="0"/>
          <w:numId w:val="2"/>
        </w:numPr>
        <w:pBdr/>
        <w:tabs>
          <w:tab w:val="clear" w:pos="709"/>
          <w:tab w:val="left" w:pos="0" w:leader="none"/>
        </w:tabs>
        <w:bidi w:val="0"/>
        <w:spacing w:lineRule="auto" w:line="274" w:before="0" w:after="0"/>
        <w:ind w:hanging="283" w:start="0" w:end="0"/>
        <w:jc w:val="start"/>
        <w:rPr>
          <w:rFonts w:ascii="Google Sans Text;sans-serif" w:hAnsi="Google Sans Text;sans-serif"/>
          <w:color w:val="1F1F1F"/>
        </w:rPr>
      </w:pPr>
      <w:bookmarkStart w:id="38" w:name="p-c_32c37600b701ae76_69209a07-934a-43821"/>
      <w:bookmarkEnd w:id="38"/>
      <w:r>
        <w:rPr>
          <w:rFonts w:ascii="Google Sans Text;sans-serif" w:hAnsi="Google Sans Text;sans-serif"/>
          <w:b/>
          <w:color w:val="1F1F1F"/>
        </w:rPr>
        <w:t>Addressing the Measurement Gap:</w:t>
      </w:r>
      <w:r>
        <w:rPr>
          <w:rFonts w:ascii="Google Sans Text;sans-serif" w:hAnsi="Google Sans Text;sans-serif"/>
          <w:color w:val="1F1F1F"/>
        </w:rPr>
        <w:t xml:space="preserve"> Acknowledge that scores are behavioral proxies. The authors should search their data for secondary indicators of motivation (e.g., participation frequency in the marketplace) or cognitive load (e.g., time-on-task) to bolster their claims.</w:t>
      </w:r>
    </w:p>
    <w:p>
      <w:pPr>
        <w:pStyle w:val="BodyText"/>
        <w:keepNext w:val="false"/>
        <w:pageBreakBefore w:val="false"/>
        <w:widowControl/>
        <w:numPr>
          <w:ilvl w:val="0"/>
          <w:numId w:val="2"/>
        </w:numPr>
        <w:pBdr/>
        <w:tabs>
          <w:tab w:val="clear" w:pos="709"/>
          <w:tab w:val="left" w:pos="0" w:leader="none"/>
        </w:tabs>
        <w:bidi w:val="0"/>
        <w:spacing w:lineRule="auto" w:line="274" w:before="0" w:after="0"/>
        <w:ind w:hanging="283" w:start="0" w:end="0"/>
        <w:jc w:val="start"/>
        <w:rPr>
          <w:rFonts w:ascii="Google Sans Text;sans-serif" w:hAnsi="Google Sans Text;sans-serif"/>
          <w:color w:val="1F1F1F"/>
        </w:rPr>
      </w:pPr>
      <w:bookmarkStart w:id="39" w:name="p-c_32c37600b701ae76_69209a07-934a-43822"/>
      <w:bookmarkEnd w:id="39"/>
      <w:r>
        <w:rPr>
          <w:rFonts w:ascii="Google Sans Text;sans-serif" w:hAnsi="Google Sans Text;sans-serif"/>
          <w:b/>
          <w:color w:val="1F1F1F"/>
        </w:rPr>
        <w:t>Correcting the 84% Claim:</w:t>
      </w:r>
      <w:r>
        <w:rPr>
          <w:rFonts w:ascii="Google Sans Text;sans-serif" w:hAnsi="Google Sans Text;sans-serif"/>
          <w:color w:val="1F1F1F"/>
        </w:rPr>
        <w:t xml:space="preserve"> Reviewer 2 noted that the claim of "84% reduction in score range" in the abstract was not supported by the statistics. The authors must cross-check their math; if 84% refers to the reduction in variance ($1 - (52.01/335.78) \approx 0.845$), they must state this clearly as a "variance reduction" rather than a "score range reduction".</w:t>
      </w:r>
    </w:p>
    <w:p>
      <w:pPr>
        <w:pStyle w:val="BodyText"/>
        <w:keepNext w:val="false"/>
        <w:pageBreakBefore w:val="false"/>
        <w:widowControl/>
        <w:numPr>
          <w:ilvl w:val="0"/>
          <w:numId w:val="2"/>
        </w:numPr>
        <w:pBdr/>
        <w:tabs>
          <w:tab w:val="clear" w:pos="709"/>
          <w:tab w:val="left" w:pos="0" w:leader="none"/>
        </w:tabs>
        <w:bidi w:val="0"/>
        <w:spacing w:lineRule="auto" w:line="274" w:before="0" w:after="0"/>
        <w:ind w:hanging="283" w:start="0" w:end="0"/>
        <w:jc w:val="start"/>
        <w:rPr>
          <w:rFonts w:ascii="Google Sans Text;sans-serif" w:hAnsi="Google Sans Text;sans-serif"/>
          <w:color w:val="1F1F1F"/>
        </w:rPr>
      </w:pPr>
      <w:bookmarkStart w:id="40" w:name="p-c_32c37600b701ae76_69209a07-934a-43823"/>
      <w:bookmarkEnd w:id="40"/>
      <w:r>
        <w:rPr>
          <w:rFonts w:ascii="Google Sans Text;sans-serif" w:hAnsi="Google Sans Text;sans-serif"/>
          <w:b/>
          <w:color w:val="1F1F1F"/>
        </w:rPr>
        <w:t>Structural Simplification:</w:t>
      </w:r>
      <w:r>
        <w:rPr>
          <w:rFonts w:ascii="Google Sans Text;sans-serif" w:hAnsi="Google Sans Text;sans-serif"/>
          <w:color w:val="1F1F1F"/>
        </w:rPr>
        <w:t xml:space="preserve"> Condense the conclusion and move the "Limitations" to a standalone section to satisfy the IMRaD standards of </w:t>
      </w:r>
      <w:r>
        <w:rPr>
          <w:rFonts w:ascii="Google Sans Text;sans-serif" w:hAnsi="Google Sans Text;sans-serif"/>
          <w:i/>
          <w:color w:val="1F1F1F"/>
        </w:rPr>
        <w:t>Frontiers</w:t>
      </w:r>
      <w:r>
        <w:rPr>
          <w:rFonts w:ascii="Google Sans Text;sans-serif" w:hAnsi="Google Sans Text;sans-serif"/>
          <w:color w:val="1F1F1F"/>
        </w:rPr>
        <w:t>.</w:t>
      </w:r>
    </w:p>
    <w:p>
      <w:pPr>
        <w:pStyle w:val="Heading2"/>
        <w:keepNext w:val="false"/>
        <w:pageBreakBefore w:val="false"/>
        <w:widowControl/>
        <w:pBdr/>
        <w:bidi w:val="0"/>
        <w:spacing w:lineRule="auto" w:line="274" w:before="0" w:after="120"/>
        <w:ind w:hanging="0" w:start="0" w:end="0"/>
        <w:jc w:val="start"/>
        <w:rPr>
          <w:rFonts w:ascii="Google Sans;sans-serif" w:hAnsi="Google Sans;sans-serif"/>
          <w:color w:val="1F1F1F"/>
        </w:rPr>
      </w:pPr>
      <w:r>
        <w:rPr>
          <w:rFonts w:ascii="Google Sans;sans-serif" w:hAnsi="Google Sans;sans-serif"/>
          <w:color w:val="1F1F1F"/>
        </w:rPr>
        <w:t>Response Table for Reviewer 1</w:t>
      </w:r>
    </w:p>
    <w:tbl>
      <w:tblPr>
        <w:tblW w:w="9638" w:type="dxa"/>
        <w:jc w:val="start"/>
        <w:tblInd w:w="0" w:type="dxa"/>
        <w:tblLayout w:type="fixed"/>
        <w:tblCellMar>
          <w:top w:w="240" w:type="dxa"/>
          <w:start w:w="28" w:type="dxa"/>
          <w:bottom w:w="240" w:type="dxa"/>
          <w:end w:w="180" w:type="dxa"/>
        </w:tblCellMar>
      </w:tblPr>
      <w:tblGrid>
        <w:gridCol w:w="747"/>
        <w:gridCol w:w="2103"/>
        <w:gridCol w:w="2492"/>
        <w:gridCol w:w="1584"/>
        <w:gridCol w:w="2712"/>
      </w:tblGrid>
      <w:tr>
        <w:trPr>
          <w:tblHeader w:val="true"/>
        </w:trPr>
        <w:tc>
          <w:tcPr>
            <w:tcW w:w="747" w:type="dxa"/>
            <w:tcBorders>
              <w:top w:val="single" w:sz="2" w:space="0" w:color="000000"/>
              <w:start w:val="single" w:sz="2" w:space="0" w:color="000000"/>
              <w:bottom w:val="single" w:sz="2" w:space="0" w:color="000000"/>
              <w:end w:val="single" w:sz="2" w:space="0" w:color="000000"/>
            </w:tcBorders>
            <w:vAlign w:val="center"/>
          </w:tcPr>
          <w:p>
            <w:pPr>
              <w:pStyle w:val="TableContents"/>
              <w:keepNext w:val="false"/>
              <w:widowControl/>
              <w:bidi w:val="0"/>
              <w:spacing w:lineRule="auto" w:line="274" w:before="0" w:after="0"/>
              <w:ind w:hanging="0" w:start="0" w:end="0"/>
              <w:jc w:val="start"/>
              <w:rPr/>
            </w:pPr>
            <w:r>
              <w:rPr>
                <w:rStyle w:val="Strong"/>
                <w:rFonts w:ascii="Google Sans Text;sans-serif" w:hAnsi="Google Sans Text;sans-serif"/>
                <w:color w:val="1F1F1F"/>
              </w:rPr>
              <w:t>Index</w:t>
            </w:r>
          </w:p>
        </w:tc>
        <w:tc>
          <w:tcPr>
            <w:tcW w:w="2103" w:type="dxa"/>
            <w:tcBorders>
              <w:top w:val="single" w:sz="2" w:space="0" w:color="000000"/>
              <w:start w:val="single" w:sz="2" w:space="0" w:color="000000"/>
              <w:bottom w:val="single" w:sz="2" w:space="0" w:color="000000"/>
              <w:end w:val="single" w:sz="2" w:space="0" w:color="000000"/>
            </w:tcBorders>
            <w:vAlign w:val="center"/>
          </w:tcPr>
          <w:p>
            <w:pPr>
              <w:pStyle w:val="TableContents"/>
              <w:keepNext w:val="false"/>
              <w:widowControl/>
              <w:bidi w:val="0"/>
              <w:spacing w:lineRule="auto" w:line="274" w:before="0" w:after="0"/>
              <w:ind w:hanging="0" w:start="0" w:end="0"/>
              <w:jc w:val="start"/>
              <w:rPr/>
            </w:pPr>
            <w:r>
              <w:rPr>
                <w:rStyle w:val="Strong"/>
                <w:rFonts w:ascii="Google Sans Text;sans-serif" w:hAnsi="Google Sans Text;sans-serif"/>
                <w:color w:val="1F1F1F"/>
              </w:rPr>
              <w:t>Reviewer Comment</w:t>
            </w:r>
          </w:p>
        </w:tc>
        <w:tc>
          <w:tcPr>
            <w:tcW w:w="2492" w:type="dxa"/>
            <w:tcBorders>
              <w:top w:val="single" w:sz="2" w:space="0" w:color="000000"/>
              <w:start w:val="single" w:sz="2" w:space="0" w:color="000000"/>
              <w:bottom w:val="single" w:sz="2" w:space="0" w:color="000000"/>
              <w:end w:val="single" w:sz="2" w:space="0" w:color="000000"/>
            </w:tcBorders>
            <w:vAlign w:val="center"/>
          </w:tcPr>
          <w:p>
            <w:pPr>
              <w:pStyle w:val="TableContents"/>
              <w:keepNext w:val="false"/>
              <w:widowControl/>
              <w:bidi w:val="0"/>
              <w:spacing w:lineRule="auto" w:line="274" w:before="0" w:after="0"/>
              <w:ind w:hanging="0" w:start="0" w:end="0"/>
              <w:jc w:val="start"/>
              <w:rPr/>
            </w:pPr>
            <w:r>
              <w:rPr>
                <w:rStyle w:val="Strong"/>
                <w:rFonts w:ascii="Google Sans Text;sans-serif" w:hAnsi="Google Sans Text;sans-serif"/>
                <w:color w:val="1F1F1F"/>
              </w:rPr>
              <w:t>Author Reply</w:t>
            </w:r>
          </w:p>
        </w:tc>
        <w:tc>
          <w:tcPr>
            <w:tcW w:w="1584" w:type="dxa"/>
            <w:tcBorders>
              <w:top w:val="single" w:sz="2" w:space="0" w:color="000000"/>
              <w:start w:val="single" w:sz="2" w:space="0" w:color="000000"/>
              <w:bottom w:val="single" w:sz="2" w:space="0" w:color="000000"/>
              <w:end w:val="single" w:sz="2" w:space="0" w:color="000000"/>
            </w:tcBorders>
            <w:vAlign w:val="center"/>
          </w:tcPr>
          <w:p>
            <w:pPr>
              <w:pStyle w:val="TableContents"/>
              <w:keepNext w:val="false"/>
              <w:widowControl/>
              <w:bidi w:val="0"/>
              <w:spacing w:lineRule="auto" w:line="274" w:before="0" w:after="0"/>
              <w:ind w:hanging="0" w:start="0" w:end="0"/>
              <w:jc w:val="start"/>
              <w:rPr/>
            </w:pPr>
            <w:r>
              <w:rPr>
                <w:rStyle w:val="Strong"/>
                <w:rFonts w:ascii="Google Sans Text;sans-serif" w:hAnsi="Google Sans Text;sans-serif"/>
                <w:color w:val="1F1F1F"/>
              </w:rPr>
              <w:t>Page/Lines/Original Text</w:t>
            </w:r>
          </w:p>
        </w:tc>
        <w:tc>
          <w:tcPr>
            <w:tcW w:w="2712" w:type="dxa"/>
            <w:tcBorders>
              <w:top w:val="single" w:sz="2" w:space="0" w:color="000000"/>
              <w:start w:val="single" w:sz="2" w:space="0" w:color="000000"/>
              <w:bottom w:val="single" w:sz="2" w:space="0" w:color="000000"/>
              <w:end w:val="single" w:sz="2" w:space="0" w:color="000000"/>
            </w:tcBorders>
            <w:tcMar>
              <w:end w:w="28" w:type="dxa"/>
            </w:tcMar>
            <w:vAlign w:val="center"/>
          </w:tcPr>
          <w:p>
            <w:pPr>
              <w:pStyle w:val="TableContents"/>
              <w:keepNext w:val="false"/>
              <w:widowControl/>
              <w:bidi w:val="0"/>
              <w:spacing w:lineRule="auto" w:line="274" w:before="0" w:after="0"/>
              <w:ind w:hanging="0" w:start="0" w:end="0"/>
              <w:jc w:val="start"/>
              <w:rPr/>
            </w:pPr>
            <w:r>
              <w:rPr>
                <w:rStyle w:val="Strong"/>
                <w:rFonts w:ascii="Google Sans Text;sans-serif" w:hAnsi="Google Sans Text;sans-serif"/>
                <w:color w:val="1F1F1F"/>
              </w:rPr>
              <w:t>Proposed Update to Text</w:t>
            </w:r>
          </w:p>
        </w:tc>
      </w:tr>
      <w:tr>
        <w:trPr/>
        <w:tc>
          <w:tcPr>
            <w:tcW w:w="747" w:type="dxa"/>
            <w:tcBorders>
              <w:top w:val="single" w:sz="2" w:space="0" w:color="000000"/>
              <w:start w:val="single" w:sz="2" w:space="0" w:color="000000"/>
              <w:bottom w:val="single" w:sz="2" w:space="0" w:color="000000"/>
              <w:end w:val="single" w:sz="2" w:space="0" w:color="000000"/>
            </w:tcBorders>
            <w:vAlign w:val="center"/>
          </w:tcPr>
          <w:p>
            <w:pPr>
              <w:pStyle w:val="TableContents"/>
              <w:keepNext w:val="false"/>
              <w:widowControl/>
              <w:bidi w:val="0"/>
              <w:spacing w:lineRule="auto" w:line="274" w:before="0" w:after="0"/>
              <w:ind w:hanging="0" w:start="0" w:end="0"/>
              <w:jc w:val="start"/>
              <w:rPr>
                <w:rFonts w:ascii="Google Sans Text;sans-serif" w:hAnsi="Google Sans Text;sans-serif"/>
                <w:color w:val="1F1F1F"/>
              </w:rPr>
            </w:pPr>
            <w:r>
              <w:rPr>
                <w:rFonts w:ascii="Google Sans Text;sans-serif" w:hAnsi="Google Sans Text;sans-serif"/>
                <w:color w:val="1F1F1F"/>
              </w:rPr>
              <w:t>R1.1</w:t>
            </w:r>
          </w:p>
        </w:tc>
        <w:tc>
          <w:tcPr>
            <w:tcW w:w="2103" w:type="dxa"/>
            <w:tcBorders>
              <w:top w:val="single" w:sz="2" w:space="0" w:color="000000"/>
              <w:start w:val="single" w:sz="2" w:space="0" w:color="000000"/>
              <w:bottom w:val="single" w:sz="2" w:space="0" w:color="000000"/>
              <w:end w:val="single" w:sz="2" w:space="0" w:color="000000"/>
            </w:tcBorders>
            <w:vAlign w:val="center"/>
          </w:tcPr>
          <w:p>
            <w:pPr>
              <w:pStyle w:val="TableContents"/>
              <w:keepNext w:val="false"/>
              <w:widowControl/>
              <w:bidi w:val="0"/>
              <w:spacing w:lineRule="auto" w:line="274" w:before="0" w:after="0"/>
              <w:ind w:hanging="0" w:start="0" w:end="0"/>
              <w:jc w:val="start"/>
              <w:rPr>
                <w:rFonts w:ascii="Google Sans Text;sans-serif" w:hAnsi="Google Sans Text;sans-serif"/>
                <w:color w:val="1F1F1F"/>
              </w:rPr>
            </w:pPr>
            <w:r>
              <w:rPr>
                <w:rFonts w:ascii="Google Sans Text;sans-serif" w:hAnsi="Google Sans Text;sans-serif"/>
                <w:color w:val="1F1F1F"/>
              </w:rPr>
              <w:t>Limited by single-institution, cross-cohort design.</w:t>
            </w:r>
          </w:p>
        </w:tc>
        <w:tc>
          <w:tcPr>
            <w:tcW w:w="2492" w:type="dxa"/>
            <w:tcBorders>
              <w:top w:val="single" w:sz="2" w:space="0" w:color="000000"/>
              <w:start w:val="single" w:sz="2" w:space="0" w:color="000000"/>
              <w:bottom w:val="single" w:sz="2" w:space="0" w:color="000000"/>
              <w:end w:val="single" w:sz="2" w:space="0" w:color="000000"/>
            </w:tcBorders>
            <w:vAlign w:val="center"/>
          </w:tcPr>
          <w:p>
            <w:pPr>
              <w:pStyle w:val="TableContents"/>
              <w:keepNext w:val="false"/>
              <w:widowControl/>
              <w:bidi w:val="0"/>
              <w:spacing w:lineRule="auto" w:line="274" w:before="0" w:after="0"/>
              <w:ind w:hanging="0" w:start="0" w:end="0"/>
              <w:jc w:val="start"/>
              <w:rPr>
                <w:rFonts w:ascii="Google Sans Text;sans-serif" w:hAnsi="Google Sans Text;sans-serif"/>
                <w:color w:val="1F1F1F"/>
              </w:rPr>
            </w:pPr>
            <w:r>
              <w:rPr>
                <w:rFonts w:ascii="Google Sans Text;sans-serif" w:hAnsi="Google Sans Text;sans-serif"/>
                <w:color w:val="1F1F1F"/>
              </w:rPr>
              <w:t>The authors acknowledge this limitation and have reframed the study as a "preliminary validation" that serves as a proof-of-concept.</w:t>
            </w:r>
          </w:p>
        </w:tc>
        <w:tc>
          <w:tcPr>
            <w:tcW w:w="1584" w:type="dxa"/>
            <w:tcBorders>
              <w:top w:val="single" w:sz="2" w:space="0" w:color="000000"/>
              <w:start w:val="single" w:sz="2" w:space="0" w:color="000000"/>
              <w:bottom w:val="single" w:sz="2" w:space="0" w:color="000000"/>
              <w:end w:val="single" w:sz="2" w:space="0" w:color="000000"/>
            </w:tcBorders>
            <w:vAlign w:val="center"/>
          </w:tcPr>
          <w:p>
            <w:pPr>
              <w:pStyle w:val="TableContents"/>
              <w:keepNext w:val="false"/>
              <w:widowControl/>
              <w:bidi w:val="0"/>
              <w:spacing w:lineRule="auto" w:line="274" w:before="0" w:after="0"/>
              <w:ind w:hanging="0" w:start="0" w:end="0"/>
              <w:jc w:val="start"/>
              <w:rPr>
                <w:rFonts w:ascii="Google Sans Text;sans-serif" w:hAnsi="Google Sans Text;sans-serif"/>
                <w:color w:val="1F1F1F"/>
              </w:rPr>
            </w:pPr>
            <w:r>
              <w:rPr>
                <w:rFonts w:ascii="Google Sans Text;sans-serif" w:hAnsi="Google Sans Text;sans-serif"/>
                <w:color w:val="1F1F1F"/>
              </w:rPr>
              <w:t>P14, L452: "Single-institution design..."</w:t>
            </w:r>
          </w:p>
        </w:tc>
        <w:tc>
          <w:tcPr>
            <w:tcW w:w="2712" w:type="dxa"/>
            <w:tcBorders>
              <w:top w:val="single" w:sz="2" w:space="0" w:color="000000"/>
              <w:start w:val="single" w:sz="2" w:space="0" w:color="000000"/>
              <w:bottom w:val="single" w:sz="2" w:space="0" w:color="000000"/>
              <w:end w:val="single" w:sz="2" w:space="0" w:color="000000"/>
            </w:tcBorders>
            <w:tcMar>
              <w:end w:w="28" w:type="dxa"/>
            </w:tcMar>
            <w:vAlign w:val="center"/>
          </w:tcPr>
          <w:p>
            <w:pPr>
              <w:pStyle w:val="TableContents"/>
              <w:keepNext w:val="false"/>
              <w:widowControl/>
              <w:bidi w:val="0"/>
              <w:spacing w:lineRule="auto" w:line="274" w:before="0" w:after="0"/>
              <w:ind w:hanging="0" w:start="0" w:end="0"/>
              <w:jc w:val="start"/>
              <w:rPr>
                <w:rFonts w:ascii="Google Sans Text;sans-serif" w:hAnsi="Google Sans Text;sans-serif"/>
                <w:color w:val="1F1F1F"/>
              </w:rPr>
            </w:pPr>
            <w:r>
              <w:rPr>
                <w:rFonts w:ascii="Google Sans Text;sans-serif" w:hAnsi="Google Sans Text;sans-serif"/>
                <w:color w:val="1F1F1F"/>
              </w:rPr>
              <w:t>Updated text: "As a preliminary single-institution study, these findings provide a proof-of-concept for the framework's efficacy within a specific engineering context."</w:t>
            </w:r>
          </w:p>
        </w:tc>
      </w:tr>
      <w:tr>
        <w:trPr/>
        <w:tc>
          <w:tcPr>
            <w:tcW w:w="747" w:type="dxa"/>
            <w:tcBorders>
              <w:top w:val="single" w:sz="2" w:space="0" w:color="000000"/>
              <w:start w:val="single" w:sz="2" w:space="0" w:color="000000"/>
              <w:bottom w:val="single" w:sz="2" w:space="0" w:color="000000"/>
              <w:end w:val="single" w:sz="2" w:space="0" w:color="000000"/>
            </w:tcBorders>
            <w:vAlign w:val="center"/>
          </w:tcPr>
          <w:p>
            <w:pPr>
              <w:pStyle w:val="TableContents"/>
              <w:keepNext w:val="false"/>
              <w:widowControl/>
              <w:bidi w:val="0"/>
              <w:spacing w:lineRule="auto" w:line="274" w:before="0" w:after="0"/>
              <w:ind w:hanging="0" w:start="0" w:end="0"/>
              <w:jc w:val="start"/>
              <w:rPr>
                <w:rFonts w:ascii="Google Sans Text;sans-serif" w:hAnsi="Google Sans Text;sans-serif"/>
                <w:color w:val="1F1F1F"/>
              </w:rPr>
            </w:pPr>
            <w:r>
              <w:rPr>
                <w:rFonts w:ascii="Google Sans Text;sans-serif" w:hAnsi="Google Sans Text;sans-serif"/>
                <w:color w:val="1F1F1F"/>
              </w:rPr>
              <w:t>R1.2</w:t>
            </w:r>
          </w:p>
        </w:tc>
        <w:tc>
          <w:tcPr>
            <w:tcW w:w="2103" w:type="dxa"/>
            <w:tcBorders>
              <w:top w:val="single" w:sz="2" w:space="0" w:color="000000"/>
              <w:start w:val="single" w:sz="2" w:space="0" w:color="000000"/>
              <w:bottom w:val="single" w:sz="2" w:space="0" w:color="000000"/>
              <w:end w:val="single" w:sz="2" w:space="0" w:color="000000"/>
            </w:tcBorders>
            <w:vAlign w:val="center"/>
          </w:tcPr>
          <w:p>
            <w:pPr>
              <w:pStyle w:val="TableContents"/>
              <w:keepNext w:val="false"/>
              <w:widowControl/>
              <w:bidi w:val="0"/>
              <w:spacing w:lineRule="auto" w:line="274" w:before="0" w:after="0"/>
              <w:ind w:hanging="0" w:start="0" w:end="0"/>
              <w:jc w:val="start"/>
              <w:rPr>
                <w:rFonts w:ascii="Google Sans Text;sans-serif" w:hAnsi="Google Sans Text;sans-serif"/>
                <w:color w:val="1F1F1F"/>
              </w:rPr>
            </w:pPr>
            <w:r>
              <w:rPr>
                <w:rFonts w:ascii="Google Sans Text;sans-serif" w:hAnsi="Google Sans Text;sans-serif"/>
                <w:color w:val="1F1F1F"/>
              </w:rPr>
              <w:t>Modest effect size ($\eta^2 = 0.061$).</w:t>
            </w:r>
          </w:p>
        </w:tc>
        <w:tc>
          <w:tcPr>
            <w:tcW w:w="2492" w:type="dxa"/>
            <w:tcBorders>
              <w:top w:val="single" w:sz="2" w:space="0" w:color="000000"/>
              <w:start w:val="single" w:sz="2" w:space="0" w:color="000000"/>
              <w:bottom w:val="single" w:sz="2" w:space="0" w:color="000000"/>
              <w:end w:val="single" w:sz="2" w:space="0" w:color="000000"/>
            </w:tcBorders>
            <w:vAlign w:val="center"/>
          </w:tcPr>
          <w:p>
            <w:pPr>
              <w:pStyle w:val="TableContents"/>
              <w:keepNext w:val="false"/>
              <w:widowControl/>
              <w:bidi w:val="0"/>
              <w:spacing w:lineRule="auto" w:line="274" w:before="0" w:after="0"/>
              <w:ind w:hanging="0" w:start="0" w:end="0"/>
              <w:jc w:val="start"/>
              <w:rPr>
                <w:rFonts w:ascii="Google Sans Text;sans-serif" w:hAnsi="Google Sans Text;sans-serif"/>
                <w:color w:val="1F1F1F"/>
              </w:rPr>
            </w:pPr>
            <w:r>
              <w:rPr>
                <w:rFonts w:ascii="Google Sans Text;sans-serif" w:hAnsi="Google Sans Text;sans-serif"/>
                <w:color w:val="1F1F1F"/>
              </w:rPr>
              <w:t>We agree the effect size is modest. We have added a more critical discussion of this, noting that student success is multi-factorial.</w:t>
            </w:r>
          </w:p>
        </w:tc>
        <w:tc>
          <w:tcPr>
            <w:tcW w:w="1584" w:type="dxa"/>
            <w:tcBorders>
              <w:top w:val="single" w:sz="2" w:space="0" w:color="000000"/>
              <w:start w:val="single" w:sz="2" w:space="0" w:color="000000"/>
              <w:bottom w:val="single" w:sz="2" w:space="0" w:color="000000"/>
              <w:end w:val="single" w:sz="2" w:space="0" w:color="000000"/>
            </w:tcBorders>
            <w:vAlign w:val="center"/>
          </w:tcPr>
          <w:p>
            <w:pPr>
              <w:pStyle w:val="TableContents"/>
              <w:keepNext w:val="false"/>
              <w:widowControl/>
              <w:bidi w:val="0"/>
              <w:spacing w:lineRule="auto" w:line="274" w:before="0" w:after="0"/>
              <w:ind w:hanging="0" w:start="0" w:end="0"/>
              <w:jc w:val="start"/>
              <w:rPr>
                <w:rFonts w:ascii="Google Sans Text;sans-serif" w:hAnsi="Google Sans Text;sans-serif"/>
                <w:color w:val="1F1F1F"/>
              </w:rPr>
            </w:pPr>
            <w:r>
              <w:rPr>
                <w:rFonts w:ascii="Google Sans Text;sans-serif" w:hAnsi="Google Sans Text;sans-serif"/>
                <w:color w:val="1F1F1F"/>
              </w:rPr>
              <w:t>P11, L352: "...effect size was only modest ($\eta^2 =.061$)"</w:t>
            </w:r>
          </w:p>
        </w:tc>
        <w:tc>
          <w:tcPr>
            <w:tcW w:w="2712" w:type="dxa"/>
            <w:tcBorders>
              <w:top w:val="single" w:sz="2" w:space="0" w:color="000000"/>
              <w:start w:val="single" w:sz="2" w:space="0" w:color="000000"/>
              <w:bottom w:val="single" w:sz="2" w:space="0" w:color="000000"/>
              <w:end w:val="single" w:sz="2" w:space="0" w:color="000000"/>
            </w:tcBorders>
            <w:tcMar>
              <w:end w:w="28" w:type="dxa"/>
            </w:tcMar>
            <w:vAlign w:val="center"/>
          </w:tcPr>
          <w:p>
            <w:pPr>
              <w:pStyle w:val="TableContents"/>
              <w:keepNext w:val="false"/>
              <w:widowControl/>
              <w:bidi w:val="0"/>
              <w:spacing w:lineRule="auto" w:line="274" w:before="0" w:after="0"/>
              <w:ind w:hanging="0" w:start="0" w:end="0"/>
              <w:jc w:val="start"/>
              <w:rPr>
                <w:rFonts w:ascii="Google Sans Text;sans-serif" w:hAnsi="Google Sans Text;sans-serif"/>
                <w:color w:val="1F1F1F"/>
              </w:rPr>
            </w:pPr>
            <w:r>
              <w:rPr>
                <w:rFonts w:ascii="Google Sans Text;sans-serif" w:hAnsi="Google Sans Text;sans-serif"/>
                <w:color w:val="1F1F1F"/>
              </w:rPr>
              <w:t>Updated text: "The effect size indicates that the framework explains 6.1% of performance variation, suggesting it is a significant but not sole contributor to student outcomes."</w:t>
            </w:r>
          </w:p>
        </w:tc>
      </w:tr>
      <w:tr>
        <w:trPr/>
        <w:tc>
          <w:tcPr>
            <w:tcW w:w="747" w:type="dxa"/>
            <w:tcBorders>
              <w:top w:val="single" w:sz="2" w:space="0" w:color="000000"/>
              <w:start w:val="single" w:sz="2" w:space="0" w:color="000000"/>
              <w:bottom w:val="single" w:sz="2" w:space="0" w:color="000000"/>
              <w:end w:val="single" w:sz="2" w:space="0" w:color="000000"/>
            </w:tcBorders>
            <w:vAlign w:val="center"/>
          </w:tcPr>
          <w:p>
            <w:pPr>
              <w:pStyle w:val="TableContents"/>
              <w:keepNext w:val="false"/>
              <w:widowControl/>
              <w:bidi w:val="0"/>
              <w:spacing w:lineRule="auto" w:line="274" w:before="0" w:after="0"/>
              <w:ind w:hanging="0" w:start="0" w:end="0"/>
              <w:jc w:val="start"/>
              <w:rPr>
                <w:rFonts w:ascii="Google Sans Text;sans-serif" w:hAnsi="Google Sans Text;sans-serif"/>
                <w:color w:val="1F1F1F"/>
              </w:rPr>
            </w:pPr>
            <w:r>
              <w:rPr>
                <w:rFonts w:ascii="Google Sans Text;sans-serif" w:hAnsi="Google Sans Text;sans-serif"/>
                <w:color w:val="1F1F1F"/>
              </w:rPr>
              <w:t>R1.3</w:t>
            </w:r>
          </w:p>
        </w:tc>
        <w:tc>
          <w:tcPr>
            <w:tcW w:w="2103" w:type="dxa"/>
            <w:tcBorders>
              <w:top w:val="single" w:sz="2" w:space="0" w:color="000000"/>
              <w:start w:val="single" w:sz="2" w:space="0" w:color="000000"/>
              <w:bottom w:val="single" w:sz="2" w:space="0" w:color="000000"/>
              <w:end w:val="single" w:sz="2" w:space="0" w:color="000000"/>
            </w:tcBorders>
            <w:vAlign w:val="center"/>
          </w:tcPr>
          <w:p>
            <w:pPr>
              <w:pStyle w:val="TableContents"/>
              <w:keepNext w:val="false"/>
              <w:widowControl/>
              <w:bidi w:val="0"/>
              <w:spacing w:lineRule="auto" w:line="274" w:before="0" w:after="0"/>
              <w:ind w:hanging="0" w:start="0" w:end="0"/>
              <w:jc w:val="start"/>
              <w:rPr>
                <w:rFonts w:ascii="Google Sans Text;sans-serif" w:hAnsi="Google Sans Text;sans-serif"/>
                <w:color w:val="1F1F1F"/>
              </w:rPr>
            </w:pPr>
            <w:r>
              <w:rPr>
                <w:rFonts w:ascii="Google Sans Text;sans-serif" w:hAnsi="Google Sans Text;sans-serif"/>
                <w:color w:val="1F1F1F"/>
              </w:rPr>
              <w:t>Insufficient direct measurement of motivation and cognitive load.</w:t>
            </w:r>
          </w:p>
        </w:tc>
        <w:tc>
          <w:tcPr>
            <w:tcW w:w="2492" w:type="dxa"/>
            <w:tcBorders>
              <w:top w:val="single" w:sz="2" w:space="0" w:color="000000"/>
              <w:start w:val="single" w:sz="2" w:space="0" w:color="000000"/>
              <w:bottom w:val="single" w:sz="2" w:space="0" w:color="000000"/>
              <w:end w:val="single" w:sz="2" w:space="0" w:color="000000"/>
            </w:tcBorders>
            <w:vAlign w:val="center"/>
          </w:tcPr>
          <w:p>
            <w:pPr>
              <w:pStyle w:val="TableContents"/>
              <w:keepNext w:val="false"/>
              <w:widowControl/>
              <w:bidi w:val="0"/>
              <w:spacing w:lineRule="auto" w:line="274" w:before="0" w:after="0"/>
              <w:ind w:hanging="0" w:start="0" w:end="0"/>
              <w:jc w:val="start"/>
              <w:rPr>
                <w:rFonts w:ascii="Google Sans Text;sans-serif" w:hAnsi="Google Sans Text;sans-serif"/>
                <w:color w:val="1F1F1F"/>
              </w:rPr>
            </w:pPr>
            <w:r>
              <w:rPr>
                <w:rFonts w:ascii="Google Sans Text;sans-serif" w:hAnsi="Google Sans Text;sans-serif"/>
                <w:color w:val="1F1F1F"/>
              </w:rPr>
              <w:t>We have clarified that academic scores and artifact quality were used as proxies and have updated the manuscript to reflect this behavioral focus.</w:t>
            </w:r>
          </w:p>
        </w:tc>
        <w:tc>
          <w:tcPr>
            <w:tcW w:w="1584" w:type="dxa"/>
            <w:tcBorders>
              <w:top w:val="single" w:sz="2" w:space="0" w:color="000000"/>
              <w:start w:val="single" w:sz="2" w:space="0" w:color="000000"/>
              <w:bottom w:val="single" w:sz="2" w:space="0" w:color="000000"/>
              <w:end w:val="single" w:sz="2" w:space="0" w:color="000000"/>
            </w:tcBorders>
            <w:vAlign w:val="center"/>
          </w:tcPr>
          <w:p>
            <w:pPr>
              <w:pStyle w:val="TableContents"/>
              <w:keepNext w:val="false"/>
              <w:widowControl/>
              <w:bidi w:val="0"/>
              <w:spacing w:lineRule="auto" w:line="274" w:before="0" w:after="0"/>
              <w:ind w:hanging="0" w:start="0" w:end="0"/>
              <w:jc w:val="start"/>
              <w:rPr>
                <w:rFonts w:ascii="Google Sans Text;sans-serif" w:hAnsi="Google Sans Text;sans-serif"/>
                <w:color w:val="1F1F1F"/>
              </w:rPr>
            </w:pPr>
            <w:r>
              <w:rPr>
                <w:rFonts w:ascii="Google Sans Text;sans-serif" w:hAnsi="Google Sans Text;sans-serif"/>
                <w:color w:val="1F1F1F"/>
              </w:rPr>
              <w:t>P14, L440: "interpretation is speculative..."</w:t>
            </w:r>
          </w:p>
        </w:tc>
        <w:tc>
          <w:tcPr>
            <w:tcW w:w="2712" w:type="dxa"/>
            <w:tcBorders>
              <w:top w:val="single" w:sz="2" w:space="0" w:color="000000"/>
              <w:start w:val="single" w:sz="2" w:space="0" w:color="000000"/>
              <w:bottom w:val="single" w:sz="2" w:space="0" w:color="000000"/>
              <w:end w:val="single" w:sz="2" w:space="0" w:color="000000"/>
            </w:tcBorders>
            <w:tcMar>
              <w:end w:w="28" w:type="dxa"/>
            </w:tcMar>
            <w:vAlign w:val="center"/>
          </w:tcPr>
          <w:p>
            <w:pPr>
              <w:pStyle w:val="TableContents"/>
              <w:keepNext w:val="false"/>
              <w:widowControl/>
              <w:bidi w:val="0"/>
              <w:spacing w:lineRule="auto" w:line="274" w:before="0" w:after="0"/>
              <w:ind w:hanging="0" w:start="0" w:end="0"/>
              <w:jc w:val="start"/>
              <w:rPr>
                <w:rFonts w:ascii="Google Sans Text;sans-serif" w:hAnsi="Google Sans Text;sans-serif"/>
                <w:color w:val="1F1F1F"/>
              </w:rPr>
            </w:pPr>
            <w:r>
              <w:rPr>
                <w:rFonts w:ascii="Google Sans Text;sans-serif" w:hAnsi="Google Sans Text;sans-serif"/>
                <w:color w:val="1F1F1F"/>
              </w:rPr>
              <w:t>Updated text: "In the absence of direct psychometric scales, academic scores were utilized as behavioral proxies to indicate alignment with the intended cognitive and motivational outcomes."</w:t>
            </w:r>
          </w:p>
        </w:tc>
      </w:tr>
      <w:tr>
        <w:trPr/>
        <w:tc>
          <w:tcPr>
            <w:tcW w:w="747" w:type="dxa"/>
            <w:tcBorders>
              <w:top w:val="single" w:sz="2" w:space="0" w:color="000000"/>
              <w:start w:val="single" w:sz="2" w:space="0" w:color="000000"/>
              <w:bottom w:val="single" w:sz="2" w:space="0" w:color="000000"/>
              <w:end w:val="single" w:sz="2" w:space="0" w:color="000000"/>
            </w:tcBorders>
            <w:vAlign w:val="center"/>
          </w:tcPr>
          <w:p>
            <w:pPr>
              <w:pStyle w:val="TableContents"/>
              <w:keepNext w:val="false"/>
              <w:widowControl/>
              <w:bidi w:val="0"/>
              <w:spacing w:lineRule="auto" w:line="274" w:before="0" w:after="0"/>
              <w:ind w:hanging="0" w:start="0" w:end="0"/>
              <w:jc w:val="start"/>
              <w:rPr>
                <w:rFonts w:ascii="Google Sans Text;sans-serif" w:hAnsi="Google Sans Text;sans-serif"/>
                <w:color w:val="1F1F1F"/>
              </w:rPr>
            </w:pPr>
            <w:r>
              <w:rPr>
                <w:rFonts w:ascii="Google Sans Text;sans-serif" w:hAnsi="Google Sans Text;sans-serif"/>
                <w:color w:val="1F1F1F"/>
              </w:rPr>
              <w:t>R1.4</w:t>
            </w:r>
          </w:p>
        </w:tc>
        <w:tc>
          <w:tcPr>
            <w:tcW w:w="2103" w:type="dxa"/>
            <w:tcBorders>
              <w:top w:val="single" w:sz="2" w:space="0" w:color="000000"/>
              <w:start w:val="single" w:sz="2" w:space="0" w:color="000000"/>
              <w:bottom w:val="single" w:sz="2" w:space="0" w:color="000000"/>
              <w:end w:val="single" w:sz="2" w:space="0" w:color="000000"/>
            </w:tcBorders>
            <w:vAlign w:val="center"/>
          </w:tcPr>
          <w:p>
            <w:pPr>
              <w:pStyle w:val="TableContents"/>
              <w:keepNext w:val="false"/>
              <w:widowControl/>
              <w:bidi w:val="0"/>
              <w:spacing w:lineRule="auto" w:line="274" w:before="0" w:after="0"/>
              <w:ind w:hanging="0" w:start="0" w:end="0"/>
              <w:jc w:val="start"/>
              <w:rPr>
                <w:rFonts w:ascii="Google Sans Text;sans-serif" w:hAnsi="Google Sans Text;sans-serif"/>
                <w:color w:val="1F1F1F"/>
              </w:rPr>
            </w:pPr>
            <w:r>
              <w:rPr>
                <w:rFonts w:ascii="Google Sans Text;sans-serif" w:hAnsi="Google Sans Text;sans-serif"/>
                <w:color w:val="1F1F1F"/>
              </w:rPr>
              <w:t>Confounding factors across semesters.</w:t>
            </w:r>
          </w:p>
        </w:tc>
        <w:tc>
          <w:tcPr>
            <w:tcW w:w="2492" w:type="dxa"/>
            <w:tcBorders>
              <w:top w:val="single" w:sz="2" w:space="0" w:color="000000"/>
              <w:start w:val="single" w:sz="2" w:space="0" w:color="000000"/>
              <w:bottom w:val="single" w:sz="2" w:space="0" w:color="000000"/>
              <w:end w:val="single" w:sz="2" w:space="0" w:color="000000"/>
            </w:tcBorders>
            <w:vAlign w:val="center"/>
          </w:tcPr>
          <w:p>
            <w:pPr>
              <w:pStyle w:val="TableContents"/>
              <w:keepNext w:val="false"/>
              <w:widowControl/>
              <w:bidi w:val="0"/>
              <w:spacing w:lineRule="auto" w:line="274" w:before="0" w:after="0"/>
              <w:ind w:hanging="0" w:start="0" w:end="0"/>
              <w:jc w:val="start"/>
              <w:rPr>
                <w:rFonts w:ascii="Google Sans Text;sans-serif" w:hAnsi="Google Sans Text;sans-serif"/>
                <w:color w:val="1F1F1F"/>
              </w:rPr>
            </w:pPr>
            <w:r>
              <w:rPr>
                <w:rFonts w:ascii="Google Sans Text;sans-serif" w:hAnsi="Google Sans Text;sans-serif"/>
                <w:color w:val="1F1F1F"/>
              </w:rPr>
              <w:t>The threat of cohort effects has been explicitly added to the Limitations section as requested.</w:t>
            </w:r>
          </w:p>
        </w:tc>
        <w:tc>
          <w:tcPr>
            <w:tcW w:w="1584" w:type="dxa"/>
            <w:tcBorders>
              <w:top w:val="single" w:sz="2" w:space="0" w:color="000000"/>
              <w:start w:val="single" w:sz="2" w:space="0" w:color="000000"/>
              <w:bottom w:val="single" w:sz="2" w:space="0" w:color="000000"/>
              <w:end w:val="single" w:sz="2" w:space="0" w:color="000000"/>
            </w:tcBorders>
            <w:vAlign w:val="center"/>
          </w:tcPr>
          <w:p>
            <w:pPr>
              <w:pStyle w:val="TableContents"/>
              <w:keepNext w:val="false"/>
              <w:widowControl/>
              <w:bidi w:val="0"/>
              <w:spacing w:lineRule="auto" w:line="274" w:before="0" w:after="0"/>
              <w:ind w:hanging="0" w:start="0" w:end="0"/>
              <w:jc w:val="start"/>
              <w:rPr>
                <w:rFonts w:ascii="Google Sans Text;sans-serif" w:hAnsi="Google Sans Text;sans-serif"/>
                <w:color w:val="1F1F1F"/>
              </w:rPr>
            </w:pPr>
            <w:r>
              <w:rPr>
                <w:rFonts w:ascii="Google Sans Text;sans-serif" w:hAnsi="Google Sans Text;sans-serif"/>
                <w:color w:val="1F1F1F"/>
              </w:rPr>
              <w:t>P14, L455: "Variations across semesters..."</w:t>
            </w:r>
          </w:p>
        </w:tc>
        <w:tc>
          <w:tcPr>
            <w:tcW w:w="2712" w:type="dxa"/>
            <w:tcBorders>
              <w:top w:val="single" w:sz="2" w:space="0" w:color="000000"/>
              <w:start w:val="single" w:sz="2" w:space="0" w:color="000000"/>
              <w:bottom w:val="single" w:sz="2" w:space="0" w:color="000000"/>
              <w:end w:val="single" w:sz="2" w:space="0" w:color="000000"/>
            </w:tcBorders>
            <w:tcMar>
              <w:end w:w="28" w:type="dxa"/>
            </w:tcMar>
            <w:vAlign w:val="center"/>
          </w:tcPr>
          <w:p>
            <w:pPr>
              <w:pStyle w:val="TableContents"/>
              <w:keepNext w:val="false"/>
              <w:widowControl/>
              <w:bidi w:val="0"/>
              <w:spacing w:lineRule="auto" w:line="274" w:before="0" w:after="0"/>
              <w:ind w:hanging="0" w:start="0" w:end="0"/>
              <w:jc w:val="start"/>
              <w:rPr>
                <w:rFonts w:ascii="Google Sans Text;sans-serif" w:hAnsi="Google Sans Text;sans-serif"/>
                <w:color w:val="1F1F1F"/>
              </w:rPr>
            </w:pPr>
            <w:r>
              <w:rPr>
                <w:rFonts w:ascii="Google Sans Text;sans-serif" w:hAnsi="Google Sans Text;sans-serif"/>
                <w:color w:val="1F1F1F"/>
              </w:rPr>
              <w:t>Updated text: "Differences in semester schedules and cohort demographics represent potential confounding variables that may impact internal validity."</w:t>
            </w:r>
          </w:p>
        </w:tc>
      </w:tr>
      <w:tr>
        <w:trPr/>
        <w:tc>
          <w:tcPr>
            <w:tcW w:w="747" w:type="dxa"/>
            <w:tcBorders>
              <w:top w:val="single" w:sz="2" w:space="0" w:color="000000"/>
              <w:start w:val="single" w:sz="2" w:space="0" w:color="000000"/>
              <w:bottom w:val="single" w:sz="2" w:space="0" w:color="000000"/>
              <w:end w:val="single" w:sz="2" w:space="0" w:color="000000"/>
            </w:tcBorders>
            <w:vAlign w:val="center"/>
          </w:tcPr>
          <w:p>
            <w:pPr>
              <w:pStyle w:val="TableContents"/>
              <w:keepNext w:val="false"/>
              <w:widowControl/>
              <w:bidi w:val="0"/>
              <w:spacing w:lineRule="auto" w:line="274" w:before="0" w:after="0"/>
              <w:ind w:hanging="0" w:start="0" w:end="0"/>
              <w:jc w:val="start"/>
              <w:rPr>
                <w:rFonts w:ascii="Google Sans Text;sans-serif" w:hAnsi="Google Sans Text;sans-serif"/>
                <w:color w:val="1F1F1F"/>
              </w:rPr>
            </w:pPr>
            <w:r>
              <w:rPr>
                <w:rFonts w:ascii="Google Sans Text;sans-serif" w:hAnsi="Google Sans Text;sans-serif"/>
                <w:color w:val="1F1F1F"/>
              </w:rPr>
              <w:t>R1.5</w:t>
            </w:r>
          </w:p>
        </w:tc>
        <w:tc>
          <w:tcPr>
            <w:tcW w:w="2103" w:type="dxa"/>
            <w:tcBorders>
              <w:top w:val="single" w:sz="2" w:space="0" w:color="000000"/>
              <w:start w:val="single" w:sz="2" w:space="0" w:color="000000"/>
              <w:bottom w:val="single" w:sz="2" w:space="0" w:color="000000"/>
              <w:end w:val="single" w:sz="2" w:space="0" w:color="000000"/>
            </w:tcBorders>
            <w:vAlign w:val="center"/>
          </w:tcPr>
          <w:p>
            <w:pPr>
              <w:pStyle w:val="TableContents"/>
              <w:keepNext w:val="false"/>
              <w:widowControl/>
              <w:bidi w:val="0"/>
              <w:spacing w:lineRule="auto" w:line="274" w:before="0" w:after="0"/>
              <w:ind w:hanging="0" w:start="0" w:end="0"/>
              <w:jc w:val="start"/>
              <w:rPr>
                <w:rFonts w:ascii="Google Sans Text;sans-serif" w:hAnsi="Google Sans Text;sans-serif"/>
                <w:color w:val="1F1F1F"/>
              </w:rPr>
            </w:pPr>
            <w:r>
              <w:rPr>
                <w:rFonts w:ascii="Google Sans Text;sans-serif" w:hAnsi="Google Sans Text;sans-serif"/>
                <w:color w:val="1F1F1F"/>
              </w:rPr>
              <w:t>Need for larger-scale validation.</w:t>
            </w:r>
          </w:p>
        </w:tc>
        <w:tc>
          <w:tcPr>
            <w:tcW w:w="2492" w:type="dxa"/>
            <w:tcBorders>
              <w:top w:val="single" w:sz="2" w:space="0" w:color="000000"/>
              <w:start w:val="single" w:sz="2" w:space="0" w:color="000000"/>
              <w:bottom w:val="single" w:sz="2" w:space="0" w:color="000000"/>
              <w:end w:val="single" w:sz="2" w:space="0" w:color="000000"/>
            </w:tcBorders>
            <w:vAlign w:val="center"/>
          </w:tcPr>
          <w:p>
            <w:pPr>
              <w:pStyle w:val="TableContents"/>
              <w:keepNext w:val="false"/>
              <w:widowControl/>
              <w:bidi w:val="0"/>
              <w:spacing w:lineRule="auto" w:line="274" w:before="0" w:after="0"/>
              <w:ind w:hanging="0" w:start="0" w:end="0"/>
              <w:jc w:val="start"/>
              <w:rPr>
                <w:rFonts w:ascii="Google Sans Text;sans-serif" w:hAnsi="Google Sans Text;sans-serif"/>
                <w:color w:val="1F1F1F"/>
              </w:rPr>
            </w:pPr>
            <w:r>
              <w:rPr>
                <w:rFonts w:ascii="Google Sans Text;sans-serif" w:hAnsi="Google Sans Text;sans-serif"/>
                <w:color w:val="1F1F1F"/>
              </w:rPr>
              <w:t>This is now explicitly listed as the primary objective for the next phase of the research agenda.</w:t>
            </w:r>
          </w:p>
        </w:tc>
        <w:tc>
          <w:tcPr>
            <w:tcW w:w="1584" w:type="dxa"/>
            <w:tcBorders>
              <w:top w:val="single" w:sz="2" w:space="0" w:color="000000"/>
              <w:start w:val="single" w:sz="2" w:space="0" w:color="000000"/>
              <w:bottom w:val="single" w:sz="2" w:space="0" w:color="000000"/>
              <w:end w:val="single" w:sz="2" w:space="0" w:color="000000"/>
            </w:tcBorders>
            <w:vAlign w:val="center"/>
          </w:tcPr>
          <w:p>
            <w:pPr>
              <w:pStyle w:val="TableContents"/>
              <w:keepNext w:val="false"/>
              <w:widowControl/>
              <w:bidi w:val="0"/>
              <w:spacing w:lineRule="auto" w:line="274" w:before="0" w:after="0"/>
              <w:ind w:hanging="0" w:start="0" w:end="0"/>
              <w:jc w:val="start"/>
              <w:rPr>
                <w:rFonts w:ascii="Google Sans Text;sans-serif" w:hAnsi="Google Sans Text;sans-serif"/>
                <w:color w:val="1F1F1F"/>
              </w:rPr>
            </w:pPr>
            <w:r>
              <w:rPr>
                <w:rFonts w:ascii="Google Sans Text;sans-serif" w:hAnsi="Google Sans Text;sans-serif"/>
                <w:color w:val="1F1F1F"/>
              </w:rPr>
              <w:t>P14, L470: "forthcoming empirical agenda..."</w:t>
            </w:r>
          </w:p>
        </w:tc>
        <w:tc>
          <w:tcPr>
            <w:tcW w:w="2712" w:type="dxa"/>
            <w:tcBorders>
              <w:top w:val="single" w:sz="2" w:space="0" w:color="000000"/>
              <w:start w:val="single" w:sz="2" w:space="0" w:color="000000"/>
              <w:bottom w:val="single" w:sz="2" w:space="0" w:color="000000"/>
              <w:end w:val="single" w:sz="2" w:space="0" w:color="000000"/>
            </w:tcBorders>
            <w:tcMar>
              <w:end w:w="28" w:type="dxa"/>
            </w:tcMar>
            <w:vAlign w:val="center"/>
          </w:tcPr>
          <w:p>
            <w:pPr>
              <w:pStyle w:val="TableContents"/>
              <w:keepNext w:val="false"/>
              <w:widowControl/>
              <w:bidi w:val="0"/>
              <w:spacing w:lineRule="auto" w:line="274" w:before="0" w:after="0"/>
              <w:ind w:hanging="0" w:start="0" w:end="0"/>
              <w:jc w:val="start"/>
              <w:rPr>
                <w:rFonts w:ascii="Google Sans Text;sans-serif" w:hAnsi="Google Sans Text;sans-serif"/>
                <w:color w:val="1F1F1F"/>
              </w:rPr>
            </w:pPr>
            <w:r>
              <w:rPr>
                <w:rFonts w:ascii="Google Sans Text;sans-serif" w:hAnsi="Google Sans Text;sans-serif"/>
                <w:color w:val="1F1F1F"/>
              </w:rPr>
              <w:t>Updated text: "Future research will prioritize multi-institutional trials to assess the generalizability of the TISE-VALORIZE framework across diverse settings."</w:t>
            </w:r>
          </w:p>
        </w:tc>
      </w:tr>
    </w:tbl>
    <w:p>
      <w:pPr>
        <w:pStyle w:val="Heading2"/>
        <w:keepNext w:val="false"/>
        <w:pageBreakBefore w:val="false"/>
        <w:widowControl/>
        <w:pBdr/>
        <w:bidi w:val="0"/>
        <w:spacing w:lineRule="auto" w:line="274" w:before="0" w:after="120"/>
        <w:ind w:hanging="0" w:start="0" w:end="0"/>
        <w:jc w:val="start"/>
        <w:rPr>
          <w:rFonts w:ascii="Google Sans;sans-serif" w:hAnsi="Google Sans;sans-serif"/>
          <w:color w:val="1F1F1F"/>
        </w:rPr>
      </w:pPr>
      <w:r>
        <w:rPr>
          <w:rFonts w:ascii="Google Sans;sans-serif" w:hAnsi="Google Sans;sans-serif"/>
          <w:color w:val="1F1F1F"/>
        </w:rPr>
        <w:t>Response Table for Reviewer 2</w:t>
      </w:r>
    </w:p>
    <w:tbl>
      <w:tblPr>
        <w:tblW w:w="9638" w:type="dxa"/>
        <w:jc w:val="start"/>
        <w:tblInd w:w="0" w:type="dxa"/>
        <w:tblLayout w:type="fixed"/>
        <w:tblCellMar>
          <w:top w:w="240" w:type="dxa"/>
          <w:start w:w="28" w:type="dxa"/>
          <w:bottom w:w="240" w:type="dxa"/>
          <w:end w:w="180" w:type="dxa"/>
        </w:tblCellMar>
      </w:tblPr>
      <w:tblGrid>
        <w:gridCol w:w="747"/>
        <w:gridCol w:w="2113"/>
        <w:gridCol w:w="2649"/>
        <w:gridCol w:w="1486"/>
        <w:gridCol w:w="2643"/>
      </w:tblGrid>
      <w:tr>
        <w:trPr>
          <w:tblHeader w:val="true"/>
        </w:trPr>
        <w:tc>
          <w:tcPr>
            <w:tcW w:w="747" w:type="dxa"/>
            <w:tcBorders>
              <w:top w:val="single" w:sz="2" w:space="0" w:color="000000"/>
              <w:start w:val="single" w:sz="2" w:space="0" w:color="000000"/>
              <w:bottom w:val="single" w:sz="2" w:space="0" w:color="000000"/>
              <w:end w:val="single" w:sz="2" w:space="0" w:color="000000"/>
            </w:tcBorders>
            <w:vAlign w:val="center"/>
          </w:tcPr>
          <w:p>
            <w:pPr>
              <w:pStyle w:val="TableContents"/>
              <w:keepNext w:val="false"/>
              <w:widowControl/>
              <w:bidi w:val="0"/>
              <w:spacing w:lineRule="auto" w:line="274" w:before="0" w:after="0"/>
              <w:ind w:hanging="0" w:start="0" w:end="0"/>
              <w:jc w:val="start"/>
              <w:rPr/>
            </w:pPr>
            <w:r>
              <w:rPr>
                <w:rStyle w:val="Strong"/>
                <w:rFonts w:ascii="Google Sans Text;sans-serif" w:hAnsi="Google Sans Text;sans-serif"/>
                <w:color w:val="1F1F1F"/>
              </w:rPr>
              <w:t>Index</w:t>
            </w:r>
          </w:p>
        </w:tc>
        <w:tc>
          <w:tcPr>
            <w:tcW w:w="2113" w:type="dxa"/>
            <w:tcBorders>
              <w:top w:val="single" w:sz="2" w:space="0" w:color="000000"/>
              <w:start w:val="single" w:sz="2" w:space="0" w:color="000000"/>
              <w:bottom w:val="single" w:sz="2" w:space="0" w:color="000000"/>
              <w:end w:val="single" w:sz="2" w:space="0" w:color="000000"/>
            </w:tcBorders>
            <w:vAlign w:val="center"/>
          </w:tcPr>
          <w:p>
            <w:pPr>
              <w:pStyle w:val="TableContents"/>
              <w:keepNext w:val="false"/>
              <w:widowControl/>
              <w:bidi w:val="0"/>
              <w:spacing w:lineRule="auto" w:line="274" w:before="0" w:after="0"/>
              <w:ind w:hanging="0" w:start="0" w:end="0"/>
              <w:jc w:val="start"/>
              <w:rPr/>
            </w:pPr>
            <w:r>
              <w:rPr>
                <w:rStyle w:val="Strong"/>
                <w:rFonts w:ascii="Google Sans Text;sans-serif" w:hAnsi="Google Sans Text;sans-serif"/>
                <w:color w:val="1F1F1F"/>
              </w:rPr>
              <w:t>Reviewer Comment</w:t>
            </w:r>
          </w:p>
        </w:tc>
        <w:tc>
          <w:tcPr>
            <w:tcW w:w="2649" w:type="dxa"/>
            <w:tcBorders>
              <w:top w:val="single" w:sz="2" w:space="0" w:color="000000"/>
              <w:start w:val="single" w:sz="2" w:space="0" w:color="000000"/>
              <w:bottom w:val="single" w:sz="2" w:space="0" w:color="000000"/>
              <w:end w:val="single" w:sz="2" w:space="0" w:color="000000"/>
            </w:tcBorders>
            <w:vAlign w:val="center"/>
          </w:tcPr>
          <w:p>
            <w:pPr>
              <w:pStyle w:val="TableContents"/>
              <w:keepNext w:val="false"/>
              <w:widowControl/>
              <w:bidi w:val="0"/>
              <w:spacing w:lineRule="auto" w:line="274" w:before="0" w:after="0"/>
              <w:ind w:hanging="0" w:start="0" w:end="0"/>
              <w:jc w:val="start"/>
              <w:rPr/>
            </w:pPr>
            <w:r>
              <w:rPr>
                <w:rStyle w:val="Strong"/>
                <w:rFonts w:ascii="Google Sans Text;sans-serif" w:hAnsi="Google Sans Text;sans-serif"/>
                <w:color w:val="1F1F1F"/>
              </w:rPr>
              <w:t>Author Reply</w:t>
            </w:r>
          </w:p>
        </w:tc>
        <w:tc>
          <w:tcPr>
            <w:tcW w:w="1486" w:type="dxa"/>
            <w:tcBorders>
              <w:top w:val="single" w:sz="2" w:space="0" w:color="000000"/>
              <w:start w:val="single" w:sz="2" w:space="0" w:color="000000"/>
              <w:bottom w:val="single" w:sz="2" w:space="0" w:color="000000"/>
              <w:end w:val="single" w:sz="2" w:space="0" w:color="000000"/>
            </w:tcBorders>
            <w:vAlign w:val="center"/>
          </w:tcPr>
          <w:p>
            <w:pPr>
              <w:pStyle w:val="TableContents"/>
              <w:keepNext w:val="false"/>
              <w:widowControl/>
              <w:bidi w:val="0"/>
              <w:spacing w:lineRule="auto" w:line="274" w:before="0" w:after="0"/>
              <w:ind w:hanging="0" w:start="0" w:end="0"/>
              <w:jc w:val="start"/>
              <w:rPr/>
            </w:pPr>
            <w:r>
              <w:rPr>
                <w:rStyle w:val="Strong"/>
                <w:rFonts w:ascii="Google Sans Text;sans-serif" w:hAnsi="Google Sans Text;sans-serif"/>
                <w:color w:val="1F1F1F"/>
              </w:rPr>
              <w:t>Page/Lines/Original Text</w:t>
            </w:r>
          </w:p>
        </w:tc>
        <w:tc>
          <w:tcPr>
            <w:tcW w:w="2643" w:type="dxa"/>
            <w:tcBorders>
              <w:top w:val="single" w:sz="2" w:space="0" w:color="000000"/>
              <w:start w:val="single" w:sz="2" w:space="0" w:color="000000"/>
              <w:bottom w:val="single" w:sz="2" w:space="0" w:color="000000"/>
              <w:end w:val="single" w:sz="2" w:space="0" w:color="000000"/>
            </w:tcBorders>
            <w:tcMar>
              <w:end w:w="28" w:type="dxa"/>
            </w:tcMar>
            <w:vAlign w:val="center"/>
          </w:tcPr>
          <w:p>
            <w:pPr>
              <w:pStyle w:val="TableContents"/>
              <w:keepNext w:val="false"/>
              <w:widowControl/>
              <w:bidi w:val="0"/>
              <w:spacing w:lineRule="auto" w:line="274" w:before="0" w:after="0"/>
              <w:ind w:hanging="0" w:start="0" w:end="0"/>
              <w:jc w:val="start"/>
              <w:rPr/>
            </w:pPr>
            <w:r>
              <w:rPr>
                <w:rStyle w:val="Strong"/>
                <w:rFonts w:ascii="Google Sans Text;sans-serif" w:hAnsi="Google Sans Text;sans-serif"/>
                <w:color w:val="1F1F1F"/>
              </w:rPr>
              <w:t>Proposed Update to Text</w:t>
            </w:r>
          </w:p>
        </w:tc>
      </w:tr>
      <w:tr>
        <w:trPr/>
        <w:tc>
          <w:tcPr>
            <w:tcW w:w="747" w:type="dxa"/>
            <w:tcBorders>
              <w:top w:val="single" w:sz="2" w:space="0" w:color="000000"/>
              <w:start w:val="single" w:sz="2" w:space="0" w:color="000000"/>
              <w:bottom w:val="single" w:sz="2" w:space="0" w:color="000000"/>
              <w:end w:val="single" w:sz="2" w:space="0" w:color="000000"/>
            </w:tcBorders>
            <w:vAlign w:val="center"/>
          </w:tcPr>
          <w:p>
            <w:pPr>
              <w:pStyle w:val="TableContents"/>
              <w:keepNext w:val="false"/>
              <w:widowControl/>
              <w:bidi w:val="0"/>
              <w:spacing w:lineRule="auto" w:line="274" w:before="0" w:after="0"/>
              <w:ind w:hanging="0" w:start="0" w:end="0"/>
              <w:jc w:val="start"/>
              <w:rPr>
                <w:rFonts w:ascii="Google Sans Text;sans-serif" w:hAnsi="Google Sans Text;sans-serif"/>
                <w:color w:val="1F1F1F"/>
              </w:rPr>
            </w:pPr>
            <w:r>
              <w:rPr>
                <w:rFonts w:ascii="Google Sans Text;sans-serif" w:hAnsi="Google Sans Text;sans-serif"/>
                <w:color w:val="1F1F1F"/>
              </w:rPr>
              <w:t>R2.1</w:t>
            </w:r>
          </w:p>
        </w:tc>
        <w:tc>
          <w:tcPr>
            <w:tcW w:w="2113" w:type="dxa"/>
            <w:tcBorders>
              <w:top w:val="single" w:sz="2" w:space="0" w:color="000000"/>
              <w:start w:val="single" w:sz="2" w:space="0" w:color="000000"/>
              <w:bottom w:val="single" w:sz="2" w:space="0" w:color="000000"/>
              <w:end w:val="single" w:sz="2" w:space="0" w:color="000000"/>
            </w:tcBorders>
            <w:vAlign w:val="center"/>
          </w:tcPr>
          <w:p>
            <w:pPr>
              <w:pStyle w:val="TableContents"/>
              <w:keepNext w:val="false"/>
              <w:widowControl/>
              <w:bidi w:val="0"/>
              <w:spacing w:lineRule="auto" w:line="274" w:before="0" w:after="0"/>
              <w:ind w:hanging="0" w:start="0" w:end="0"/>
              <w:jc w:val="start"/>
              <w:rPr>
                <w:rFonts w:ascii="Google Sans Text;sans-serif" w:hAnsi="Google Sans Text;sans-serif"/>
                <w:color w:val="1F1F1F"/>
              </w:rPr>
            </w:pPr>
            <w:r>
              <w:rPr>
                <w:rFonts w:ascii="Google Sans Text;sans-serif" w:hAnsi="Google Sans Text;sans-serif"/>
                <w:color w:val="1F1F1F"/>
              </w:rPr>
              <w:t>Claims of "84% reduction in score range" not supported by statistics.</w:t>
            </w:r>
          </w:p>
        </w:tc>
        <w:tc>
          <w:tcPr>
            <w:tcW w:w="2649" w:type="dxa"/>
            <w:tcBorders>
              <w:top w:val="single" w:sz="2" w:space="0" w:color="000000"/>
              <w:start w:val="single" w:sz="2" w:space="0" w:color="000000"/>
              <w:bottom w:val="single" w:sz="2" w:space="0" w:color="000000"/>
              <w:end w:val="single" w:sz="2" w:space="0" w:color="000000"/>
            </w:tcBorders>
            <w:vAlign w:val="center"/>
          </w:tcPr>
          <w:p>
            <w:pPr>
              <w:pStyle w:val="TableContents"/>
              <w:keepNext w:val="false"/>
              <w:widowControl/>
              <w:bidi w:val="0"/>
              <w:spacing w:lineRule="auto" w:line="274" w:before="0" w:after="0"/>
              <w:ind w:hanging="0" w:start="0" w:end="0"/>
              <w:jc w:val="start"/>
              <w:rPr>
                <w:rFonts w:ascii="Google Sans Text;sans-serif" w:hAnsi="Google Sans Text;sans-serif"/>
                <w:color w:val="1F1F1F"/>
              </w:rPr>
            </w:pPr>
            <w:r>
              <w:rPr>
                <w:rFonts w:ascii="Google Sans Text;sans-serif" w:hAnsi="Google Sans Text;sans-serif"/>
                <w:color w:val="1F1F1F"/>
              </w:rPr>
              <w:t>We have corrected this claim to specify that the 84% refers to the reduction in variance between the experimental and control groups.</w:t>
            </w:r>
          </w:p>
        </w:tc>
        <w:tc>
          <w:tcPr>
            <w:tcW w:w="1486" w:type="dxa"/>
            <w:tcBorders>
              <w:top w:val="single" w:sz="2" w:space="0" w:color="000000"/>
              <w:start w:val="single" w:sz="2" w:space="0" w:color="000000"/>
              <w:bottom w:val="single" w:sz="2" w:space="0" w:color="000000"/>
              <w:end w:val="single" w:sz="2" w:space="0" w:color="000000"/>
            </w:tcBorders>
            <w:vAlign w:val="center"/>
          </w:tcPr>
          <w:p>
            <w:pPr>
              <w:pStyle w:val="TableContents"/>
              <w:keepNext w:val="false"/>
              <w:widowControl/>
              <w:bidi w:val="0"/>
              <w:spacing w:lineRule="auto" w:line="274" w:before="0" w:after="0"/>
              <w:ind w:hanging="0" w:start="0" w:end="0"/>
              <w:jc w:val="start"/>
              <w:rPr>
                <w:rFonts w:ascii="Google Sans Text;sans-serif" w:hAnsi="Google Sans Text;sans-serif"/>
                <w:color w:val="1F1F1F"/>
              </w:rPr>
            </w:pPr>
            <w:r>
              <w:rPr>
                <w:rFonts w:ascii="Google Sans Text;sans-serif" w:hAnsi="Google Sans Text;sans-serif"/>
                <w:color w:val="1F1F1F"/>
              </w:rPr>
              <w:t>P1, L21: "...had a much smaller range of scores..."</w:t>
            </w:r>
          </w:p>
        </w:tc>
        <w:tc>
          <w:tcPr>
            <w:tcW w:w="2643" w:type="dxa"/>
            <w:tcBorders>
              <w:top w:val="single" w:sz="2" w:space="0" w:color="000000"/>
              <w:start w:val="single" w:sz="2" w:space="0" w:color="000000"/>
              <w:bottom w:val="single" w:sz="2" w:space="0" w:color="000000"/>
              <w:end w:val="single" w:sz="2" w:space="0" w:color="000000"/>
            </w:tcBorders>
            <w:tcMar>
              <w:end w:w="28" w:type="dxa"/>
            </w:tcMar>
            <w:vAlign w:val="center"/>
          </w:tcPr>
          <w:p>
            <w:pPr>
              <w:pStyle w:val="TableContents"/>
              <w:keepNext w:val="false"/>
              <w:widowControl/>
              <w:bidi w:val="0"/>
              <w:spacing w:lineRule="auto" w:line="274" w:before="0" w:after="0"/>
              <w:ind w:hanging="0" w:start="0" w:end="0"/>
              <w:jc w:val="start"/>
              <w:rPr>
                <w:rFonts w:ascii="Google Sans Text;sans-serif" w:hAnsi="Google Sans Text;sans-serif"/>
                <w:color w:val="1F1F1F"/>
              </w:rPr>
            </w:pPr>
            <w:r>
              <w:rPr>
                <w:rFonts w:ascii="Google Sans Text;sans-serif" w:hAnsi="Google Sans Text;sans-serif"/>
                <w:color w:val="1F1F1F"/>
              </w:rPr>
              <w:t>Updated text: "Statistical results show that the experimental group demonstrated an 84% reduction in score variance compared to control groups."</w:t>
            </w:r>
          </w:p>
        </w:tc>
      </w:tr>
      <w:tr>
        <w:trPr/>
        <w:tc>
          <w:tcPr>
            <w:tcW w:w="747" w:type="dxa"/>
            <w:tcBorders>
              <w:top w:val="single" w:sz="2" w:space="0" w:color="000000"/>
              <w:start w:val="single" w:sz="2" w:space="0" w:color="000000"/>
              <w:bottom w:val="single" w:sz="2" w:space="0" w:color="000000"/>
              <w:end w:val="single" w:sz="2" w:space="0" w:color="000000"/>
            </w:tcBorders>
            <w:vAlign w:val="center"/>
          </w:tcPr>
          <w:p>
            <w:pPr>
              <w:pStyle w:val="TableContents"/>
              <w:keepNext w:val="false"/>
              <w:widowControl/>
              <w:bidi w:val="0"/>
              <w:spacing w:lineRule="auto" w:line="274" w:before="0" w:after="0"/>
              <w:ind w:hanging="0" w:start="0" w:end="0"/>
              <w:jc w:val="start"/>
              <w:rPr>
                <w:rFonts w:ascii="Google Sans Text;sans-serif" w:hAnsi="Google Sans Text;sans-serif"/>
                <w:color w:val="1F1F1F"/>
              </w:rPr>
            </w:pPr>
            <w:r>
              <w:rPr>
                <w:rFonts w:ascii="Google Sans Text;sans-serif" w:hAnsi="Google Sans Text;sans-serif"/>
                <w:color w:val="1F1F1F"/>
              </w:rPr>
              <w:t>R2.2</w:t>
            </w:r>
          </w:p>
        </w:tc>
        <w:tc>
          <w:tcPr>
            <w:tcW w:w="2113" w:type="dxa"/>
            <w:tcBorders>
              <w:top w:val="single" w:sz="2" w:space="0" w:color="000000"/>
              <w:start w:val="single" w:sz="2" w:space="0" w:color="000000"/>
              <w:bottom w:val="single" w:sz="2" w:space="0" w:color="000000"/>
              <w:end w:val="single" w:sz="2" w:space="0" w:color="000000"/>
            </w:tcBorders>
            <w:vAlign w:val="center"/>
          </w:tcPr>
          <w:p>
            <w:pPr>
              <w:pStyle w:val="TableContents"/>
              <w:keepNext w:val="false"/>
              <w:widowControl/>
              <w:bidi w:val="0"/>
              <w:spacing w:lineRule="auto" w:line="274" w:before="0" w:after="0"/>
              <w:ind w:hanging="0" w:start="0" w:end="0"/>
              <w:jc w:val="start"/>
              <w:rPr>
                <w:rFonts w:ascii="Google Sans Text;sans-serif" w:hAnsi="Google Sans Text;sans-serif"/>
                <w:color w:val="1F1F1F"/>
              </w:rPr>
            </w:pPr>
            <w:r>
              <w:rPr>
                <w:rFonts w:ascii="Google Sans Text;sans-serif" w:hAnsi="Google Sans Text;sans-serif"/>
                <w:color w:val="1F1F1F"/>
              </w:rPr>
              <w:t>Lack of randomization and pretest.</w:t>
            </w:r>
          </w:p>
        </w:tc>
        <w:tc>
          <w:tcPr>
            <w:tcW w:w="2649" w:type="dxa"/>
            <w:tcBorders>
              <w:top w:val="single" w:sz="2" w:space="0" w:color="000000"/>
              <w:start w:val="single" w:sz="2" w:space="0" w:color="000000"/>
              <w:bottom w:val="single" w:sz="2" w:space="0" w:color="000000"/>
              <w:end w:val="single" w:sz="2" w:space="0" w:color="000000"/>
            </w:tcBorders>
            <w:vAlign w:val="center"/>
          </w:tcPr>
          <w:p>
            <w:pPr>
              <w:pStyle w:val="TableContents"/>
              <w:keepNext w:val="false"/>
              <w:widowControl/>
              <w:bidi w:val="0"/>
              <w:spacing w:lineRule="auto" w:line="274" w:before="0" w:after="0"/>
              <w:ind w:hanging="0" w:start="0" w:end="0"/>
              <w:jc w:val="start"/>
              <w:rPr>
                <w:rFonts w:ascii="Google Sans Text;sans-serif" w:hAnsi="Google Sans Text;sans-serif"/>
                <w:color w:val="1F1F1F"/>
              </w:rPr>
            </w:pPr>
            <w:r>
              <w:rPr>
                <w:rFonts w:ascii="Google Sans Text;sans-serif" w:hAnsi="Google Sans Text;sans-serif"/>
                <w:color w:val="1F1F1F"/>
              </w:rPr>
              <w:t>The study has been correctly relabeled as a quasi-experimental posttest-only design with non-equivalent groups.</w:t>
            </w:r>
          </w:p>
        </w:tc>
        <w:tc>
          <w:tcPr>
            <w:tcW w:w="1486" w:type="dxa"/>
            <w:tcBorders>
              <w:top w:val="single" w:sz="2" w:space="0" w:color="000000"/>
              <w:start w:val="single" w:sz="2" w:space="0" w:color="000000"/>
              <w:bottom w:val="single" w:sz="2" w:space="0" w:color="000000"/>
              <w:end w:val="single" w:sz="2" w:space="0" w:color="000000"/>
            </w:tcBorders>
            <w:vAlign w:val="center"/>
          </w:tcPr>
          <w:p>
            <w:pPr>
              <w:pStyle w:val="TableContents"/>
              <w:keepNext w:val="false"/>
              <w:widowControl/>
              <w:bidi w:val="0"/>
              <w:spacing w:lineRule="auto" w:line="274" w:before="0" w:after="0"/>
              <w:ind w:hanging="0" w:start="0" w:end="0"/>
              <w:jc w:val="start"/>
              <w:rPr>
                <w:rFonts w:ascii="Google Sans Text;sans-serif" w:hAnsi="Google Sans Text;sans-serif"/>
                <w:color w:val="1F1F1F"/>
              </w:rPr>
            </w:pPr>
            <w:r>
              <w:rPr>
                <w:rFonts w:ascii="Google Sans Text;sans-serif" w:hAnsi="Google Sans Text;sans-serif"/>
                <w:color w:val="1F1F1F"/>
              </w:rPr>
              <w:t>P10, L323: "preliminary application..."</w:t>
            </w:r>
          </w:p>
        </w:tc>
        <w:tc>
          <w:tcPr>
            <w:tcW w:w="2643" w:type="dxa"/>
            <w:tcBorders>
              <w:top w:val="single" w:sz="2" w:space="0" w:color="000000"/>
              <w:start w:val="single" w:sz="2" w:space="0" w:color="000000"/>
              <w:bottom w:val="single" w:sz="2" w:space="0" w:color="000000"/>
              <w:end w:val="single" w:sz="2" w:space="0" w:color="000000"/>
            </w:tcBorders>
            <w:tcMar>
              <w:end w:w="28" w:type="dxa"/>
            </w:tcMar>
            <w:vAlign w:val="center"/>
          </w:tcPr>
          <w:p>
            <w:pPr>
              <w:pStyle w:val="TableContents"/>
              <w:keepNext w:val="false"/>
              <w:widowControl/>
              <w:bidi w:val="0"/>
              <w:spacing w:lineRule="auto" w:line="274" w:before="0" w:after="0"/>
              <w:ind w:hanging="0" w:start="0" w:end="0"/>
              <w:jc w:val="start"/>
              <w:rPr>
                <w:rFonts w:ascii="Google Sans Text;sans-serif" w:hAnsi="Google Sans Text;sans-serif"/>
                <w:color w:val="1F1F1F"/>
              </w:rPr>
            </w:pPr>
            <w:r>
              <w:rPr>
                <w:rFonts w:ascii="Google Sans Text;sans-serif" w:hAnsi="Google Sans Text;sans-serif"/>
                <w:color w:val="1F1F1F"/>
              </w:rPr>
              <w:t>Updated text: "A quasi-experimental posttest-only design with non-equivalent groups was employed to compare three cohorts of engineering students."</w:t>
            </w:r>
          </w:p>
        </w:tc>
      </w:tr>
      <w:tr>
        <w:trPr/>
        <w:tc>
          <w:tcPr>
            <w:tcW w:w="747" w:type="dxa"/>
            <w:tcBorders>
              <w:top w:val="single" w:sz="2" w:space="0" w:color="000000"/>
              <w:start w:val="single" w:sz="2" w:space="0" w:color="000000"/>
              <w:bottom w:val="single" w:sz="2" w:space="0" w:color="000000"/>
              <w:end w:val="single" w:sz="2" w:space="0" w:color="000000"/>
            </w:tcBorders>
            <w:vAlign w:val="center"/>
          </w:tcPr>
          <w:p>
            <w:pPr>
              <w:pStyle w:val="TableContents"/>
              <w:keepNext w:val="false"/>
              <w:widowControl/>
              <w:bidi w:val="0"/>
              <w:spacing w:lineRule="auto" w:line="274" w:before="0" w:after="0"/>
              <w:ind w:hanging="0" w:start="0" w:end="0"/>
              <w:jc w:val="start"/>
              <w:rPr>
                <w:rFonts w:ascii="Google Sans Text;sans-serif" w:hAnsi="Google Sans Text;sans-serif"/>
                <w:color w:val="1F1F1F"/>
              </w:rPr>
            </w:pPr>
            <w:r>
              <w:rPr>
                <w:rFonts w:ascii="Google Sans Text;sans-serif" w:hAnsi="Google Sans Text;sans-serif"/>
                <w:color w:val="1F1F1F"/>
              </w:rPr>
              <w:t>R2.3</w:t>
            </w:r>
          </w:p>
        </w:tc>
        <w:tc>
          <w:tcPr>
            <w:tcW w:w="2113" w:type="dxa"/>
            <w:tcBorders>
              <w:top w:val="single" w:sz="2" w:space="0" w:color="000000"/>
              <w:start w:val="single" w:sz="2" w:space="0" w:color="000000"/>
              <w:bottom w:val="single" w:sz="2" w:space="0" w:color="000000"/>
              <w:end w:val="single" w:sz="2" w:space="0" w:color="000000"/>
            </w:tcBorders>
            <w:vAlign w:val="center"/>
          </w:tcPr>
          <w:p>
            <w:pPr>
              <w:pStyle w:val="TableContents"/>
              <w:keepNext w:val="false"/>
              <w:widowControl/>
              <w:bidi w:val="0"/>
              <w:spacing w:lineRule="auto" w:line="274" w:before="0" w:after="0"/>
              <w:ind w:hanging="0" w:start="0" w:end="0"/>
              <w:jc w:val="start"/>
              <w:rPr>
                <w:rFonts w:ascii="Google Sans Text;sans-serif" w:hAnsi="Google Sans Text;sans-serif"/>
                <w:color w:val="1F1F1F"/>
              </w:rPr>
            </w:pPr>
            <w:r>
              <w:rPr>
                <w:rFonts w:ascii="Google Sans Text;sans-serif" w:hAnsi="Google Sans Text;sans-serif"/>
                <w:color w:val="1F1F1F"/>
              </w:rPr>
              <w:t>Hypotheses not stated explicitly in introduction.</w:t>
            </w:r>
          </w:p>
        </w:tc>
        <w:tc>
          <w:tcPr>
            <w:tcW w:w="2649" w:type="dxa"/>
            <w:tcBorders>
              <w:top w:val="single" w:sz="2" w:space="0" w:color="000000"/>
              <w:start w:val="single" w:sz="2" w:space="0" w:color="000000"/>
              <w:bottom w:val="single" w:sz="2" w:space="0" w:color="000000"/>
              <w:end w:val="single" w:sz="2" w:space="0" w:color="000000"/>
            </w:tcBorders>
            <w:vAlign w:val="center"/>
          </w:tcPr>
          <w:p>
            <w:pPr>
              <w:pStyle w:val="TableContents"/>
              <w:keepNext w:val="false"/>
              <w:widowControl/>
              <w:bidi w:val="0"/>
              <w:spacing w:lineRule="auto" w:line="274" w:before="0" w:after="0"/>
              <w:ind w:hanging="0" w:start="0" w:end="0"/>
              <w:jc w:val="start"/>
              <w:rPr>
                <w:rFonts w:ascii="Google Sans Text;sans-serif" w:hAnsi="Google Sans Text;sans-serif"/>
                <w:color w:val="1F1F1F"/>
              </w:rPr>
            </w:pPr>
            <w:r>
              <w:rPr>
                <w:rFonts w:ascii="Google Sans Text;sans-serif" w:hAnsi="Google Sans Text;sans-serif"/>
                <w:color w:val="1F1F1F"/>
              </w:rPr>
              <w:t>The primary and secondary hypotheses have been reformatted into a clear bulleted list at the end of the introduction.</w:t>
            </w:r>
          </w:p>
        </w:tc>
        <w:tc>
          <w:tcPr>
            <w:tcW w:w="1486" w:type="dxa"/>
            <w:tcBorders>
              <w:top w:val="single" w:sz="2" w:space="0" w:color="000000"/>
              <w:start w:val="single" w:sz="2" w:space="0" w:color="000000"/>
              <w:bottom w:val="single" w:sz="2" w:space="0" w:color="000000"/>
              <w:end w:val="single" w:sz="2" w:space="0" w:color="000000"/>
            </w:tcBorders>
            <w:vAlign w:val="center"/>
          </w:tcPr>
          <w:p>
            <w:pPr>
              <w:pStyle w:val="TableContents"/>
              <w:keepNext w:val="false"/>
              <w:widowControl/>
              <w:bidi w:val="0"/>
              <w:spacing w:lineRule="auto" w:line="274" w:before="0" w:after="0"/>
              <w:ind w:hanging="0" w:start="0" w:end="0"/>
              <w:jc w:val="start"/>
              <w:rPr>
                <w:rFonts w:ascii="Google Sans Text;sans-serif" w:hAnsi="Google Sans Text;sans-serif"/>
                <w:color w:val="1F1F1F"/>
              </w:rPr>
            </w:pPr>
            <w:r>
              <w:rPr>
                <w:rFonts w:ascii="Google Sans Text;sans-serif" w:hAnsi="Google Sans Text;sans-serif"/>
                <w:color w:val="1F1F1F"/>
              </w:rPr>
              <w:t>P2, L58-81: (Paragraph form)</w:t>
            </w:r>
          </w:p>
        </w:tc>
        <w:tc>
          <w:tcPr>
            <w:tcW w:w="2643" w:type="dxa"/>
            <w:tcBorders>
              <w:top w:val="single" w:sz="2" w:space="0" w:color="000000"/>
              <w:start w:val="single" w:sz="2" w:space="0" w:color="000000"/>
              <w:bottom w:val="single" w:sz="2" w:space="0" w:color="000000"/>
              <w:end w:val="single" w:sz="2" w:space="0" w:color="000000"/>
            </w:tcBorders>
            <w:tcMar>
              <w:end w:w="28" w:type="dxa"/>
            </w:tcMar>
            <w:vAlign w:val="center"/>
          </w:tcPr>
          <w:p>
            <w:pPr>
              <w:pStyle w:val="TableContents"/>
              <w:keepNext w:val="false"/>
              <w:widowControl/>
              <w:bidi w:val="0"/>
              <w:spacing w:lineRule="auto" w:line="274" w:before="0" w:after="0"/>
              <w:ind w:hanging="0" w:start="0" w:end="0"/>
              <w:jc w:val="start"/>
              <w:rPr>
                <w:rFonts w:ascii="Google Sans Text;sans-serif" w:hAnsi="Google Sans Text;sans-serif"/>
                <w:color w:val="1F1F1F"/>
              </w:rPr>
            </w:pPr>
            <w:r>
              <w:rPr>
                <w:rFonts w:ascii="Google Sans Text;sans-serif" w:hAnsi="Google Sans Text;sans-serif"/>
                <w:color w:val="1F1F1F"/>
              </w:rPr>
              <w:t>Updated text: (New Subsection 1.5) "Based on the theoretical foundations, we hypothesize that: • (H1) TISE-VALORIZE leads to superior academic outcomes..."</w:t>
            </w:r>
          </w:p>
        </w:tc>
      </w:tr>
      <w:tr>
        <w:trPr/>
        <w:tc>
          <w:tcPr>
            <w:tcW w:w="747" w:type="dxa"/>
            <w:tcBorders>
              <w:top w:val="single" w:sz="2" w:space="0" w:color="000000"/>
              <w:start w:val="single" w:sz="2" w:space="0" w:color="000000"/>
              <w:bottom w:val="single" w:sz="2" w:space="0" w:color="000000"/>
              <w:end w:val="single" w:sz="2" w:space="0" w:color="000000"/>
            </w:tcBorders>
            <w:vAlign w:val="center"/>
          </w:tcPr>
          <w:p>
            <w:pPr>
              <w:pStyle w:val="TableContents"/>
              <w:keepNext w:val="false"/>
              <w:widowControl/>
              <w:bidi w:val="0"/>
              <w:spacing w:lineRule="auto" w:line="274" w:before="0" w:after="0"/>
              <w:ind w:hanging="0" w:start="0" w:end="0"/>
              <w:jc w:val="start"/>
              <w:rPr>
                <w:rFonts w:ascii="Google Sans Text;sans-serif" w:hAnsi="Google Sans Text;sans-serif"/>
                <w:color w:val="1F1F1F"/>
              </w:rPr>
            </w:pPr>
            <w:r>
              <w:rPr>
                <w:rFonts w:ascii="Google Sans Text;sans-serif" w:hAnsi="Google Sans Text;sans-serif"/>
                <w:color w:val="1F1F1F"/>
              </w:rPr>
              <w:t>R2.4</w:t>
            </w:r>
          </w:p>
        </w:tc>
        <w:tc>
          <w:tcPr>
            <w:tcW w:w="2113" w:type="dxa"/>
            <w:tcBorders>
              <w:top w:val="single" w:sz="2" w:space="0" w:color="000000"/>
              <w:start w:val="single" w:sz="2" w:space="0" w:color="000000"/>
              <w:bottom w:val="single" w:sz="2" w:space="0" w:color="000000"/>
              <w:end w:val="single" w:sz="2" w:space="0" w:color="000000"/>
            </w:tcBorders>
            <w:vAlign w:val="center"/>
          </w:tcPr>
          <w:p>
            <w:pPr>
              <w:pStyle w:val="TableContents"/>
              <w:keepNext w:val="false"/>
              <w:widowControl/>
              <w:bidi w:val="0"/>
              <w:spacing w:lineRule="auto" w:line="274" w:before="0" w:after="0"/>
              <w:ind w:hanging="0" w:start="0" w:end="0"/>
              <w:jc w:val="start"/>
              <w:rPr>
                <w:rFonts w:ascii="Google Sans Text;sans-serif" w:hAnsi="Google Sans Text;sans-serif"/>
                <w:color w:val="1F1F1F"/>
              </w:rPr>
            </w:pPr>
            <w:r>
              <w:rPr>
                <w:rFonts w:ascii="Google Sans Text;sans-serif" w:hAnsi="Google Sans Text;sans-serif"/>
                <w:color w:val="1F1F1F"/>
              </w:rPr>
              <w:t>Over-theorization and lack of conceptual mapping.</w:t>
            </w:r>
          </w:p>
        </w:tc>
        <w:tc>
          <w:tcPr>
            <w:tcW w:w="2649" w:type="dxa"/>
            <w:tcBorders>
              <w:top w:val="single" w:sz="2" w:space="0" w:color="000000"/>
              <w:start w:val="single" w:sz="2" w:space="0" w:color="000000"/>
              <w:bottom w:val="single" w:sz="2" w:space="0" w:color="000000"/>
              <w:end w:val="single" w:sz="2" w:space="0" w:color="000000"/>
            </w:tcBorders>
            <w:vAlign w:val="center"/>
          </w:tcPr>
          <w:p>
            <w:pPr>
              <w:pStyle w:val="TableContents"/>
              <w:keepNext w:val="false"/>
              <w:widowControl/>
              <w:bidi w:val="0"/>
              <w:spacing w:lineRule="auto" w:line="274" w:before="0" w:after="0"/>
              <w:ind w:hanging="0" w:start="0" w:end="0"/>
              <w:jc w:val="start"/>
              <w:rPr>
                <w:rFonts w:ascii="Google Sans Text;sans-serif" w:hAnsi="Google Sans Text;sans-serif"/>
                <w:color w:val="1F1F1F"/>
              </w:rPr>
            </w:pPr>
            <w:r>
              <w:rPr>
                <w:rFonts w:ascii="Google Sans Text;sans-serif" w:hAnsi="Google Sans Text;sans-serif"/>
                <w:color w:val="1F1F1F"/>
              </w:rPr>
              <w:t>A new conceptual flow diagram (Figure 1) has been added to show the relationship between input, process, and output.</w:t>
            </w:r>
          </w:p>
        </w:tc>
        <w:tc>
          <w:tcPr>
            <w:tcW w:w="1486" w:type="dxa"/>
            <w:tcBorders>
              <w:top w:val="single" w:sz="2" w:space="0" w:color="000000"/>
              <w:start w:val="single" w:sz="2" w:space="0" w:color="000000"/>
              <w:bottom w:val="single" w:sz="2" w:space="0" w:color="000000"/>
              <w:end w:val="single" w:sz="2" w:space="0" w:color="000000"/>
            </w:tcBorders>
            <w:vAlign w:val="center"/>
          </w:tcPr>
          <w:p>
            <w:pPr>
              <w:pStyle w:val="TableContents"/>
              <w:keepNext w:val="false"/>
              <w:widowControl/>
              <w:bidi w:val="0"/>
              <w:spacing w:lineRule="auto" w:line="274" w:before="0" w:after="0"/>
              <w:ind w:hanging="0" w:start="0" w:end="0"/>
              <w:jc w:val="start"/>
              <w:rPr>
                <w:rFonts w:ascii="Google Sans Text;sans-serif" w:hAnsi="Google Sans Text;sans-serif"/>
                <w:color w:val="1F1F1F"/>
              </w:rPr>
            </w:pPr>
            <w:r>
              <w:rPr>
                <w:rFonts w:ascii="Google Sans Text;sans-serif" w:hAnsi="Google Sans Text;sans-serif"/>
                <w:color w:val="1F1F1F"/>
              </w:rPr>
              <w:t>P9, Figure 1: (Architectural only)</w:t>
            </w:r>
          </w:p>
        </w:tc>
        <w:tc>
          <w:tcPr>
            <w:tcW w:w="2643" w:type="dxa"/>
            <w:tcBorders>
              <w:top w:val="single" w:sz="2" w:space="0" w:color="000000"/>
              <w:start w:val="single" w:sz="2" w:space="0" w:color="000000"/>
              <w:bottom w:val="single" w:sz="2" w:space="0" w:color="000000"/>
              <w:end w:val="single" w:sz="2" w:space="0" w:color="000000"/>
            </w:tcBorders>
            <w:tcMar>
              <w:end w:w="28" w:type="dxa"/>
            </w:tcMar>
            <w:vAlign w:val="center"/>
          </w:tcPr>
          <w:p>
            <w:pPr>
              <w:pStyle w:val="TableContents"/>
              <w:keepNext w:val="false"/>
              <w:widowControl/>
              <w:bidi w:val="0"/>
              <w:spacing w:lineRule="auto" w:line="274" w:before="0" w:after="0"/>
              <w:ind w:hanging="0" w:start="0" w:end="0"/>
              <w:jc w:val="start"/>
              <w:rPr>
                <w:rFonts w:ascii="Google Sans Text;sans-serif" w:hAnsi="Google Sans Text;sans-serif"/>
                <w:color w:val="1F1F1F"/>
              </w:rPr>
            </w:pPr>
            <w:r>
              <w:rPr>
                <w:rFonts w:ascii="Google Sans Text;sans-serif" w:hAnsi="Google Sans Text;sans-serif"/>
                <w:color w:val="1F1F1F"/>
              </w:rPr>
              <w:t>Proposed Figure 1 Update: Inclusion of a "Pedagogical Logic Flow" showing how the PUDAL engine drives the PSKVE assets.</w:t>
            </w:r>
          </w:p>
        </w:tc>
      </w:tr>
      <w:tr>
        <w:trPr/>
        <w:tc>
          <w:tcPr>
            <w:tcW w:w="747" w:type="dxa"/>
            <w:tcBorders>
              <w:top w:val="single" w:sz="2" w:space="0" w:color="000000"/>
              <w:start w:val="single" w:sz="2" w:space="0" w:color="000000"/>
              <w:bottom w:val="single" w:sz="2" w:space="0" w:color="000000"/>
              <w:end w:val="single" w:sz="2" w:space="0" w:color="000000"/>
            </w:tcBorders>
            <w:vAlign w:val="center"/>
          </w:tcPr>
          <w:p>
            <w:pPr>
              <w:pStyle w:val="TableContents"/>
              <w:keepNext w:val="false"/>
              <w:widowControl/>
              <w:bidi w:val="0"/>
              <w:spacing w:lineRule="auto" w:line="274" w:before="0" w:after="0"/>
              <w:ind w:hanging="0" w:start="0" w:end="0"/>
              <w:jc w:val="start"/>
              <w:rPr>
                <w:rFonts w:ascii="Google Sans Text;sans-serif" w:hAnsi="Google Sans Text;sans-serif"/>
                <w:color w:val="1F1F1F"/>
              </w:rPr>
            </w:pPr>
            <w:r>
              <w:rPr>
                <w:rFonts w:ascii="Google Sans Text;sans-serif" w:hAnsi="Google Sans Text;sans-serif"/>
                <w:color w:val="1F1F1F"/>
              </w:rPr>
              <w:t>R2.5</w:t>
            </w:r>
          </w:p>
        </w:tc>
        <w:tc>
          <w:tcPr>
            <w:tcW w:w="2113" w:type="dxa"/>
            <w:tcBorders>
              <w:top w:val="single" w:sz="2" w:space="0" w:color="000000"/>
              <w:start w:val="single" w:sz="2" w:space="0" w:color="000000"/>
              <w:bottom w:val="single" w:sz="2" w:space="0" w:color="000000"/>
              <w:end w:val="single" w:sz="2" w:space="0" w:color="000000"/>
            </w:tcBorders>
            <w:vAlign w:val="center"/>
          </w:tcPr>
          <w:p>
            <w:pPr>
              <w:pStyle w:val="TableContents"/>
              <w:keepNext w:val="false"/>
              <w:widowControl/>
              <w:bidi w:val="0"/>
              <w:spacing w:lineRule="auto" w:line="274" w:before="0" w:after="0"/>
              <w:ind w:hanging="0" w:start="0" w:end="0"/>
              <w:jc w:val="start"/>
              <w:rPr>
                <w:rFonts w:ascii="Google Sans Text;sans-serif" w:hAnsi="Google Sans Text;sans-serif"/>
                <w:color w:val="1F1F1F"/>
              </w:rPr>
            </w:pPr>
            <w:r>
              <w:rPr>
                <w:rFonts w:ascii="Google Sans Text;sans-serif" w:hAnsi="Google Sans Text;sans-serif"/>
                <w:color w:val="1F1F1F"/>
              </w:rPr>
              <w:t>Use of normative language like "fair and useful to learn."</w:t>
            </w:r>
          </w:p>
        </w:tc>
        <w:tc>
          <w:tcPr>
            <w:tcW w:w="2649" w:type="dxa"/>
            <w:tcBorders>
              <w:top w:val="single" w:sz="2" w:space="0" w:color="000000"/>
              <w:start w:val="single" w:sz="2" w:space="0" w:color="000000"/>
              <w:bottom w:val="single" w:sz="2" w:space="0" w:color="000000"/>
              <w:end w:val="single" w:sz="2" w:space="0" w:color="000000"/>
            </w:tcBorders>
            <w:vAlign w:val="center"/>
          </w:tcPr>
          <w:p>
            <w:pPr>
              <w:pStyle w:val="TableContents"/>
              <w:keepNext w:val="false"/>
              <w:widowControl/>
              <w:bidi w:val="0"/>
              <w:spacing w:lineRule="auto" w:line="274" w:before="0" w:after="0"/>
              <w:ind w:hanging="0" w:start="0" w:end="0"/>
              <w:jc w:val="start"/>
              <w:rPr>
                <w:rFonts w:ascii="Google Sans Text;sans-serif" w:hAnsi="Google Sans Text;sans-serif"/>
                <w:color w:val="1F1F1F"/>
              </w:rPr>
            </w:pPr>
            <w:r>
              <w:rPr>
                <w:rFonts w:ascii="Google Sans Text;sans-serif" w:hAnsi="Google Sans Text;sans-serif"/>
                <w:color w:val="1F1F1F"/>
              </w:rPr>
              <w:t>normatively-charged terms have been replaced with operational descriptions of equity and artifact utility.</w:t>
            </w:r>
          </w:p>
        </w:tc>
        <w:tc>
          <w:tcPr>
            <w:tcW w:w="1486" w:type="dxa"/>
            <w:tcBorders>
              <w:top w:val="single" w:sz="2" w:space="0" w:color="000000"/>
              <w:start w:val="single" w:sz="2" w:space="0" w:color="000000"/>
              <w:bottom w:val="single" w:sz="2" w:space="0" w:color="000000"/>
              <w:end w:val="single" w:sz="2" w:space="0" w:color="000000"/>
            </w:tcBorders>
            <w:vAlign w:val="center"/>
          </w:tcPr>
          <w:p>
            <w:pPr>
              <w:pStyle w:val="TableContents"/>
              <w:keepNext w:val="false"/>
              <w:widowControl/>
              <w:bidi w:val="0"/>
              <w:spacing w:lineRule="auto" w:line="274" w:before="0" w:after="0"/>
              <w:ind w:hanging="0" w:start="0" w:end="0"/>
              <w:jc w:val="start"/>
              <w:rPr>
                <w:rFonts w:ascii="Google Sans Text;sans-serif" w:hAnsi="Google Sans Text;sans-serif"/>
                <w:color w:val="1F1F1F"/>
              </w:rPr>
            </w:pPr>
            <w:r>
              <w:rPr>
                <w:rFonts w:ascii="Google Sans Text;sans-serif" w:hAnsi="Google Sans Text;sans-serif"/>
                <w:color w:val="1F1F1F"/>
              </w:rPr>
              <w:t>P1, L22: "...framework promotes more equal and consistent..."</w:t>
            </w:r>
          </w:p>
        </w:tc>
        <w:tc>
          <w:tcPr>
            <w:tcW w:w="2643" w:type="dxa"/>
            <w:tcBorders>
              <w:top w:val="single" w:sz="2" w:space="0" w:color="000000"/>
              <w:start w:val="single" w:sz="2" w:space="0" w:color="000000"/>
              <w:bottom w:val="single" w:sz="2" w:space="0" w:color="000000"/>
              <w:end w:val="single" w:sz="2" w:space="0" w:color="000000"/>
            </w:tcBorders>
            <w:tcMar>
              <w:end w:w="28" w:type="dxa"/>
            </w:tcMar>
            <w:vAlign w:val="center"/>
          </w:tcPr>
          <w:p>
            <w:pPr>
              <w:pStyle w:val="TableContents"/>
              <w:keepNext w:val="false"/>
              <w:widowControl/>
              <w:bidi w:val="0"/>
              <w:spacing w:lineRule="auto" w:line="274" w:before="0" w:after="0"/>
              <w:ind w:hanging="0" w:start="0" w:end="0"/>
              <w:jc w:val="start"/>
              <w:rPr>
                <w:rFonts w:ascii="Google Sans Text;sans-serif" w:hAnsi="Google Sans Text;sans-serif"/>
                <w:color w:val="1F1F1F"/>
              </w:rPr>
            </w:pPr>
            <w:r>
              <w:rPr>
                <w:rFonts w:ascii="Google Sans Text;sans-serif" w:hAnsi="Google Sans Text;sans-serif"/>
                <w:color w:val="1F1F1F"/>
              </w:rPr>
              <w:t>Updated text: "The framework facilitates performance equity by reducing score dispersion and ensuring high-quality, reusable community artifacts."</w:t>
            </w:r>
          </w:p>
        </w:tc>
      </w:tr>
    </w:tbl>
    <w:p>
      <w:pPr>
        <w:pStyle w:val="Heading2"/>
        <w:keepNext w:val="false"/>
        <w:pageBreakBefore w:val="false"/>
        <w:widowControl/>
        <w:pBdr/>
        <w:bidi w:val="0"/>
        <w:spacing w:lineRule="auto" w:line="274" w:before="0" w:after="120"/>
        <w:ind w:hanging="0" w:start="0" w:end="0"/>
        <w:jc w:val="start"/>
        <w:rPr>
          <w:rFonts w:ascii="Google Sans;sans-serif" w:hAnsi="Google Sans;sans-serif"/>
          <w:color w:val="1F1F1F"/>
        </w:rPr>
      </w:pPr>
      <w:r>
        <w:rPr>
          <w:rFonts w:ascii="Google Sans;sans-serif" w:hAnsi="Google Sans;sans-serif"/>
          <w:color w:val="1F1F1F"/>
        </w:rPr>
        <w:t>Nuanced Conclusions and Publication Roadmap</w:t>
      </w:r>
    </w:p>
    <w:p>
      <w:pPr>
        <w:pStyle w:val="BodyText"/>
        <w:keepNext w:val="false"/>
        <w:pageBreakBefore w:val="false"/>
        <w:widowControl/>
        <w:pBdr/>
        <w:bidi w:val="0"/>
        <w:spacing w:lineRule="auto" w:line="274" w:before="0" w:after="0"/>
        <w:ind w:hanging="0" w:start="0" w:end="0"/>
        <w:jc w:val="start"/>
        <w:rPr>
          <w:rFonts w:ascii="Google Sans Text;sans-serif" w:hAnsi="Google Sans Text;sans-serif"/>
          <w:color w:val="1F1F1F"/>
        </w:rPr>
      </w:pPr>
      <w:bookmarkStart w:id="41" w:name="p-c_32c37600b701ae76_69209a07-934a-43824"/>
      <w:bookmarkEnd w:id="41"/>
      <w:r>
        <w:rPr>
          <w:rFonts w:ascii="Google Sans Text;sans-serif" w:hAnsi="Google Sans Text;sans-serif"/>
          <w:color w:val="1F1F1F"/>
        </w:rPr>
        <w:t>The paper provides a highly innovative architecture for smart engineering education that is well-positioned for the current era of digital transformation. The "Value Co-Creation" model, operationalized through the CKMS-SE core engine, represents a substantial theoretical advancement over existing content-distribution frameworks.</w:t>
      </w:r>
    </w:p>
    <w:p>
      <w:pPr>
        <w:pStyle w:val="BodyText"/>
        <w:keepNext w:val="false"/>
        <w:pageBreakBefore w:val="false"/>
        <w:widowControl/>
        <w:pBdr/>
        <w:bidi w:val="0"/>
        <w:spacing w:lineRule="auto" w:line="274" w:before="0" w:after="0"/>
        <w:ind w:hanging="0" w:start="0" w:end="0"/>
        <w:jc w:val="start"/>
        <w:rPr>
          <w:rFonts w:ascii="Google Sans Text;sans-serif" w:hAnsi="Google Sans Text;sans-serif"/>
          <w:color w:val="1F1F1F"/>
        </w:rPr>
      </w:pPr>
      <w:bookmarkStart w:id="42" w:name="p-c_32c37600b701ae76_69209a07-934a-43825"/>
      <w:bookmarkEnd w:id="42"/>
      <w:r>
        <w:rPr>
          <w:rFonts w:ascii="Google Sans Text;sans-serif" w:hAnsi="Google Sans Text;sans-serif"/>
          <w:color w:val="1F1F1F"/>
        </w:rPr>
        <w:t>However, the path to publication in a Q1/Q2 journal requires the authors to meticulously address the methodological gaps identified during peer review. The manuscript's greatest strength—the significant reduction in student performance variance—must be presented with greater statistical precision and fewer causal overreaches. By relabeling the design, correcting the variance-to-range terminology, and clarifying the proxy nature of their measurements, the authors can satisfy the requirements for rigor while maintaining the framework’s ambitious conceptual scope.</w:t>
      </w:r>
    </w:p>
    <w:p>
      <w:pPr>
        <w:pStyle w:val="Heading3"/>
        <w:keepNext w:val="false"/>
        <w:pageBreakBefore w:val="false"/>
        <w:widowControl/>
        <w:pBdr/>
        <w:bidi w:val="0"/>
        <w:spacing w:lineRule="auto" w:line="274" w:before="0" w:after="120"/>
        <w:ind w:hanging="0" w:start="0" w:end="0"/>
        <w:jc w:val="start"/>
        <w:rPr>
          <w:rFonts w:ascii="Google Sans;sans-serif" w:hAnsi="Google Sans;sans-serif"/>
          <w:color w:val="1F1F1F"/>
        </w:rPr>
      </w:pPr>
      <w:r>
        <w:rPr>
          <w:rFonts w:ascii="Google Sans;sans-serif" w:hAnsi="Google Sans;sans-serif"/>
          <w:color w:val="1F1F1F"/>
        </w:rPr>
        <w:t>Strategic Roadmap for Final Submission:</w:t>
      </w:r>
    </w:p>
    <w:p>
      <w:pPr>
        <w:pStyle w:val="BodyText"/>
        <w:keepNext w:val="false"/>
        <w:pageBreakBefore w:val="false"/>
        <w:widowControl/>
        <w:numPr>
          <w:ilvl w:val="0"/>
          <w:numId w:val="3"/>
        </w:numPr>
        <w:pBdr/>
        <w:tabs>
          <w:tab w:val="clear" w:pos="709"/>
          <w:tab w:val="left" w:pos="0" w:leader="none"/>
        </w:tabs>
        <w:bidi w:val="0"/>
        <w:spacing w:lineRule="auto" w:line="274" w:before="0" w:after="0"/>
        <w:ind w:hanging="283" w:start="0" w:end="0"/>
        <w:jc w:val="start"/>
        <w:rPr>
          <w:rFonts w:ascii="Google Sans Text;sans-serif" w:hAnsi="Google Sans Text;sans-serif"/>
          <w:color w:val="1F1F1F"/>
        </w:rPr>
      </w:pPr>
      <w:bookmarkStart w:id="43" w:name="p-c_32c37600b701ae76_69209a07-934a-43826"/>
      <w:bookmarkEnd w:id="43"/>
      <w:r>
        <w:rPr>
          <w:rFonts w:ascii="Google Sans Text;sans-serif" w:hAnsi="Google Sans Text;sans-serif"/>
          <w:b/>
          <w:color w:val="1F1F1F"/>
        </w:rPr>
        <w:t>Refined Methodology:</w:t>
      </w:r>
      <w:r>
        <w:rPr>
          <w:rFonts w:ascii="Google Sans Text;sans-serif" w:hAnsi="Google Sans Text;sans-serif"/>
          <w:color w:val="1F1F1F"/>
        </w:rPr>
        <w:t xml:space="preserve"> Adopt the term "Quasi-experimental posttest-only design" throughout the manuscript to set realistic expectations for the scope of the findings.</w:t>
      </w:r>
    </w:p>
    <w:p>
      <w:pPr>
        <w:pStyle w:val="BodyText"/>
        <w:keepNext w:val="false"/>
        <w:pageBreakBefore w:val="false"/>
        <w:widowControl/>
        <w:numPr>
          <w:ilvl w:val="0"/>
          <w:numId w:val="3"/>
        </w:numPr>
        <w:pBdr/>
        <w:tabs>
          <w:tab w:val="clear" w:pos="709"/>
          <w:tab w:val="left" w:pos="0" w:leader="none"/>
        </w:tabs>
        <w:bidi w:val="0"/>
        <w:spacing w:lineRule="auto" w:line="274" w:before="0" w:after="0"/>
        <w:ind w:hanging="283" w:start="0" w:end="0"/>
        <w:jc w:val="start"/>
        <w:rPr>
          <w:rFonts w:ascii="Google Sans Text;sans-serif" w:hAnsi="Google Sans Text;sans-serif"/>
          <w:color w:val="1F1F1F"/>
        </w:rPr>
      </w:pPr>
      <w:bookmarkStart w:id="44" w:name="p-c_32c37600b701ae76_69209a07-934a-43827"/>
      <w:bookmarkEnd w:id="44"/>
      <w:r>
        <w:rPr>
          <w:rFonts w:ascii="Google Sans Text;sans-serif" w:hAnsi="Google Sans Text;sans-serif"/>
          <w:b/>
          <w:color w:val="1F1F1F"/>
        </w:rPr>
        <w:t>Hypothesis Re-centering:</w:t>
      </w:r>
      <w:r>
        <w:rPr>
          <w:rFonts w:ascii="Google Sans Text;sans-serif" w:hAnsi="Google Sans Text;sans-serif"/>
          <w:color w:val="1F1F1F"/>
        </w:rPr>
        <w:t xml:space="preserve"> Explicitly link the results in Section 5 back to the bulleted hypotheses in Section 1 to demonstrate systematic support.</w:t>
      </w:r>
    </w:p>
    <w:p>
      <w:pPr>
        <w:pStyle w:val="BodyText"/>
        <w:keepNext w:val="false"/>
        <w:pageBreakBefore w:val="false"/>
        <w:widowControl/>
        <w:numPr>
          <w:ilvl w:val="0"/>
          <w:numId w:val="3"/>
        </w:numPr>
        <w:pBdr/>
        <w:tabs>
          <w:tab w:val="clear" w:pos="709"/>
          <w:tab w:val="left" w:pos="0" w:leader="none"/>
        </w:tabs>
        <w:bidi w:val="0"/>
        <w:spacing w:lineRule="auto" w:line="274" w:before="0" w:after="0"/>
        <w:ind w:hanging="283" w:start="0" w:end="0"/>
        <w:jc w:val="start"/>
        <w:rPr>
          <w:rFonts w:ascii="Google Sans Text;sans-serif" w:hAnsi="Google Sans Text;sans-serif"/>
          <w:color w:val="1F1F1F"/>
        </w:rPr>
      </w:pPr>
      <w:bookmarkStart w:id="45" w:name="p-c_32c37600b701ae76_69209a07-934a-43828"/>
      <w:bookmarkEnd w:id="45"/>
      <w:r>
        <w:rPr>
          <w:rFonts w:ascii="Google Sans Text;sans-serif" w:hAnsi="Google Sans Text;sans-serif"/>
          <w:b/>
          <w:color w:val="1F1F1F"/>
        </w:rPr>
        <w:t>Data Integrity:</w:t>
      </w:r>
      <w:r>
        <w:rPr>
          <w:rFonts w:ascii="Google Sans Text;sans-serif" w:hAnsi="Google Sans Text;sans-serif"/>
          <w:color w:val="1F1F1F"/>
        </w:rPr>
        <w:t xml:space="preserve"> Perform a final audit of Table 3 to ensure standard deviation, variance, and Coefficient of Variation are consistent across the abstract and results.</w:t>
      </w:r>
    </w:p>
    <w:p>
      <w:pPr>
        <w:pStyle w:val="BodyText"/>
        <w:keepNext w:val="false"/>
        <w:pageBreakBefore w:val="false"/>
        <w:widowControl/>
        <w:numPr>
          <w:ilvl w:val="0"/>
          <w:numId w:val="3"/>
        </w:numPr>
        <w:pBdr/>
        <w:tabs>
          <w:tab w:val="clear" w:pos="709"/>
          <w:tab w:val="left" w:pos="0" w:leader="none"/>
        </w:tabs>
        <w:bidi w:val="0"/>
        <w:spacing w:lineRule="auto" w:line="274" w:before="0" w:after="0"/>
        <w:ind w:hanging="283" w:start="0" w:end="0"/>
        <w:jc w:val="start"/>
        <w:rPr>
          <w:rFonts w:ascii="Google Sans Text;sans-serif" w:hAnsi="Google Sans Text;sans-serif"/>
          <w:color w:val="1F1F1F"/>
        </w:rPr>
      </w:pPr>
      <w:bookmarkStart w:id="46" w:name="p-c_32c37600b701ae76_69209a07-934a-43829"/>
      <w:bookmarkEnd w:id="46"/>
      <w:r>
        <w:rPr>
          <w:rFonts w:ascii="Google Sans Text;sans-serif" w:hAnsi="Google Sans Text;sans-serif"/>
          <w:b/>
          <w:color w:val="1F1F1F"/>
        </w:rPr>
        <w:t>Language Caution:</w:t>
      </w:r>
      <w:r>
        <w:rPr>
          <w:rFonts w:ascii="Google Sans Text;sans-serif" w:hAnsi="Google Sans Text;sans-serif"/>
          <w:color w:val="1F1F1F"/>
        </w:rPr>
        <w:t xml:space="preserve"> Replace definitive causality claims with language that "provides preliminary evidence" or "is consistent with the theory" to protect against critiques of excessive interpretation.</w:t>
      </w:r>
    </w:p>
    <w:p>
      <w:pPr>
        <w:pStyle w:val="Heading2"/>
        <w:keepNext w:val="false"/>
        <w:pageBreakBefore w:val="false"/>
        <w:widowControl/>
        <w:pBdr/>
        <w:bidi w:val="0"/>
        <w:spacing w:lineRule="auto" w:line="274" w:before="0" w:after="120"/>
        <w:ind w:hanging="0" w:start="0" w:end="0"/>
        <w:jc w:val="start"/>
        <w:rPr>
          <w:rFonts w:ascii="Google Sans;sans-serif" w:hAnsi="Google Sans;sans-serif"/>
          <w:color w:val="1F1F1F"/>
        </w:rPr>
      </w:pPr>
      <w:r>
        <w:rPr>
          <w:rFonts w:ascii="Google Sans;sans-serif" w:hAnsi="Google Sans;sans-serif"/>
          <w:color w:val="1F1F1F"/>
        </w:rPr>
        <w:t>Five Strategic Examination Questions</w:t>
      </w:r>
    </w:p>
    <w:p>
      <w:pPr>
        <w:pStyle w:val="BodyText"/>
        <w:keepNext w:val="false"/>
        <w:pageBreakBefore w:val="false"/>
        <w:widowControl/>
        <w:pBdr/>
        <w:bidi w:val="0"/>
        <w:spacing w:lineRule="auto" w:line="274" w:before="0" w:after="0"/>
        <w:ind w:hanging="0" w:start="0" w:end="0"/>
        <w:jc w:val="start"/>
        <w:rPr>
          <w:rFonts w:ascii="Google Sans Text;sans-serif" w:hAnsi="Google Sans Text;sans-serif"/>
          <w:color w:val="1F1F1F"/>
        </w:rPr>
      </w:pPr>
      <w:bookmarkStart w:id="47" w:name="p-c_32c37600b701ae76_69209a07-934a-4382a"/>
      <w:bookmarkEnd w:id="47"/>
      <w:r>
        <w:rPr>
          <w:rFonts w:ascii="Google Sans Text;sans-serif" w:hAnsi="Google Sans Text;sans-serif"/>
          <w:color w:val="1F1F1F"/>
        </w:rPr>
        <w:t>To explore the candidate’s mastery of the content during the paper defense, the following questions are proposed :</w:t>
      </w:r>
    </w:p>
    <w:p>
      <w:pPr>
        <w:pStyle w:val="BodyText"/>
        <w:keepNext w:val="false"/>
        <w:pageBreakBefore w:val="false"/>
        <w:widowControl/>
        <w:numPr>
          <w:ilvl w:val="0"/>
          <w:numId w:val="4"/>
        </w:numPr>
        <w:pBdr/>
        <w:tabs>
          <w:tab w:val="clear" w:pos="709"/>
          <w:tab w:val="left" w:pos="0" w:leader="none"/>
        </w:tabs>
        <w:bidi w:val="0"/>
        <w:spacing w:lineRule="auto" w:line="274" w:before="0" w:after="0"/>
        <w:ind w:hanging="283" w:start="0" w:end="0"/>
        <w:jc w:val="start"/>
        <w:rPr>
          <w:rFonts w:ascii="Google Sans Text;sans-serif" w:hAnsi="Google Sans Text;sans-serif"/>
          <w:color w:val="1F1F1F"/>
        </w:rPr>
      </w:pPr>
      <w:bookmarkStart w:id="48" w:name="p-c_32c37600b701ae76_69209a07-934a-4382b"/>
      <w:bookmarkEnd w:id="48"/>
      <w:r>
        <w:rPr>
          <w:rFonts w:ascii="Google Sans Text;sans-serif" w:hAnsi="Google Sans Text;sans-serif"/>
          <w:color w:val="1F1F1F"/>
        </w:rPr>
        <w:t xml:space="preserve">Given the modest effect size of $\eta^2 = 0.061$, how can you theoretically justify that the framework is the primary driver of the massive reduction in variance observed in the experimental group? </w:t>
      </w:r>
    </w:p>
    <w:p>
      <w:pPr>
        <w:pStyle w:val="BodyText"/>
        <w:keepNext w:val="false"/>
        <w:pageBreakBefore w:val="false"/>
        <w:widowControl/>
        <w:numPr>
          <w:ilvl w:val="0"/>
          <w:numId w:val="4"/>
        </w:numPr>
        <w:pBdr/>
        <w:tabs>
          <w:tab w:val="clear" w:pos="709"/>
          <w:tab w:val="left" w:pos="0" w:leader="none"/>
        </w:tabs>
        <w:bidi w:val="0"/>
        <w:spacing w:lineRule="auto" w:line="274" w:before="0" w:after="0"/>
        <w:ind w:hanging="283" w:start="0" w:end="0"/>
        <w:jc w:val="start"/>
        <w:rPr>
          <w:rFonts w:ascii="Google Sans Text;sans-serif" w:hAnsi="Google Sans Text;sans-serif"/>
          <w:color w:val="1F1F1F"/>
        </w:rPr>
      </w:pPr>
      <w:bookmarkStart w:id="49" w:name="p-c_32c37600b701ae76_69209a07-934a-4382c"/>
      <w:bookmarkEnd w:id="49"/>
      <w:r>
        <w:rPr>
          <w:rFonts w:ascii="Google Sans Text;sans-serif" w:hAnsi="Google Sans Text;sans-serif"/>
          <w:color w:val="1F1F1F"/>
        </w:rPr>
        <w:t xml:space="preserve">In the PSKVE value portfolio, how do you manage the trade-offs between "Knowledge Credits" (cognitive depth) and "Economic Shares" (financial viability) when students are acting as co-creators? </w:t>
      </w:r>
    </w:p>
    <w:p>
      <w:pPr>
        <w:pStyle w:val="BodyText"/>
        <w:keepNext w:val="false"/>
        <w:pageBreakBefore w:val="false"/>
        <w:widowControl/>
        <w:numPr>
          <w:ilvl w:val="0"/>
          <w:numId w:val="4"/>
        </w:numPr>
        <w:pBdr/>
        <w:tabs>
          <w:tab w:val="clear" w:pos="709"/>
          <w:tab w:val="left" w:pos="0" w:leader="none"/>
        </w:tabs>
        <w:bidi w:val="0"/>
        <w:spacing w:lineRule="auto" w:line="274" w:before="0" w:after="0"/>
        <w:ind w:hanging="283" w:start="0" w:end="0"/>
        <w:jc w:val="start"/>
        <w:rPr>
          <w:rFonts w:ascii="Google Sans Text;sans-serif" w:hAnsi="Google Sans Text;sans-serif"/>
          <w:color w:val="1F1F1F"/>
        </w:rPr>
      </w:pPr>
      <w:bookmarkStart w:id="50" w:name="p-c_32c37600b701ae76_69209a07-934a-4382d"/>
      <w:bookmarkEnd w:id="50"/>
      <w:r>
        <w:rPr>
          <w:rFonts w:ascii="Google Sans Text;sans-serif" w:hAnsi="Google Sans Text;sans-serif"/>
          <w:color w:val="1F1F1F"/>
        </w:rPr>
        <w:t xml:space="preserve">How does the PUDAL engine specifically address the limitation of working memory (3-7 bits) when a student is navigating a multi-graph taxonomy like Directed Acyclic Graphs (DAGs)? </w:t>
      </w:r>
    </w:p>
    <w:p>
      <w:pPr>
        <w:pStyle w:val="BodyText"/>
        <w:keepNext w:val="false"/>
        <w:pageBreakBefore w:val="false"/>
        <w:widowControl/>
        <w:numPr>
          <w:ilvl w:val="0"/>
          <w:numId w:val="4"/>
        </w:numPr>
        <w:pBdr/>
        <w:tabs>
          <w:tab w:val="clear" w:pos="709"/>
          <w:tab w:val="left" w:pos="0" w:leader="none"/>
        </w:tabs>
        <w:bidi w:val="0"/>
        <w:spacing w:lineRule="auto" w:line="274" w:before="0" w:after="0"/>
        <w:ind w:hanging="283" w:start="0" w:end="0"/>
        <w:jc w:val="start"/>
        <w:rPr>
          <w:rFonts w:ascii="Google Sans Text;sans-serif" w:hAnsi="Google Sans Text;sans-serif"/>
          <w:color w:val="1F1F1F"/>
        </w:rPr>
      </w:pPr>
      <w:bookmarkStart w:id="51" w:name="p-c_32c37600b701ae76_69209a07-934a-4382e"/>
      <w:bookmarkEnd w:id="51"/>
      <w:r>
        <w:rPr>
          <w:rFonts w:ascii="Google Sans Text;sans-serif" w:hAnsi="Google Sans Text;sans-serif"/>
          <w:color w:val="1F1F1F"/>
        </w:rPr>
        <w:t xml:space="preserve">How would the framework’s architecture change if "Natural Intelligence" (nature’s laws/civilization patterns) were found to be in direct conflict with an "Artificial Intelligence" optimization algorithm during the understand phase? </w:t>
      </w:r>
    </w:p>
    <w:p>
      <w:pPr>
        <w:pStyle w:val="BodyText"/>
        <w:keepNext w:val="false"/>
        <w:pageBreakBefore w:val="false"/>
        <w:widowControl/>
        <w:numPr>
          <w:ilvl w:val="0"/>
          <w:numId w:val="4"/>
        </w:numPr>
        <w:pBdr/>
        <w:tabs>
          <w:tab w:val="clear" w:pos="709"/>
          <w:tab w:val="left" w:pos="0" w:leader="none"/>
        </w:tabs>
        <w:bidi w:val="0"/>
        <w:spacing w:lineRule="auto" w:line="274" w:before="0" w:after="0"/>
        <w:ind w:hanging="283" w:start="0" w:end="0"/>
        <w:jc w:val="start"/>
        <w:rPr>
          <w:rFonts w:ascii="Google Sans Text;sans-serif" w:hAnsi="Google Sans Text;sans-serif"/>
          <w:color w:val="1F1F1F"/>
        </w:rPr>
      </w:pPr>
      <w:bookmarkStart w:id="52" w:name="p-c_32c37600b701ae76_69209a07-934a-4382f"/>
      <w:bookmarkEnd w:id="52"/>
      <w:r>
        <w:rPr>
          <w:rFonts w:ascii="Google Sans Text;sans-serif" w:hAnsi="Google Sans Text;sans-serif"/>
          <w:color w:val="1F1F1F"/>
        </w:rPr>
        <w:t xml:space="preserve">What mechanism within the Knowledge Marketplace ensures that artifacts "earned" via Gold or Platinum points are not simply the result of "AI hallucinations" or shortcuts that bypass germane load? </w:t>
      </w:r>
    </w:p>
    <w:p>
      <w:pPr>
        <w:pStyle w:val="HorizontalLine"/>
        <w:bidi w:val="0"/>
        <w:jc w:val="start"/>
        <w:rPr/>
      </w:pPr>
      <w:r>
        <w:rPr/>
      </w:r>
    </w:p>
    <w:p>
      <w:pPr>
        <w:pStyle w:val="BodyText"/>
        <w:keepNext w:val="false"/>
        <w:pageBreakBefore w:val="false"/>
        <w:widowControl/>
        <w:pBdr/>
        <w:bidi w:val="0"/>
        <w:spacing w:lineRule="auto" w:line="274" w:before="0" w:after="0"/>
        <w:ind w:hanging="0" w:start="0" w:end="0"/>
        <w:jc w:val="start"/>
        <w:rPr>
          <w:rFonts w:ascii="Google Sans Text;sans-serif" w:hAnsi="Google Sans Text;sans-serif"/>
          <w:color w:val="1F1F1F"/>
        </w:rPr>
      </w:pPr>
      <w:bookmarkStart w:id="53" w:name="p-c_32c37600b701ae76_69209a07-934a-4382g"/>
      <w:bookmarkEnd w:id="53"/>
      <w:r>
        <w:rPr>
          <w:rFonts w:ascii="Google Sans Text;sans-serif" w:hAnsi="Google Sans Text;sans-serif"/>
          <w:b/>
          <w:color w:val="1F1F1F"/>
        </w:rPr>
        <w:t>City and Date of Examination:</w:t>
      </w:r>
      <w:r>
        <w:rPr>
          <w:rFonts w:ascii="Google Sans Text;sans-serif" w:hAnsi="Google Sans Text;sans-serif"/>
          <w:color w:val="1F1F1F"/>
        </w:rPr>
        <w:t xml:space="preserve"> Bandung, March 30, 2026. </w:t>
      </w:r>
      <w:r>
        <w:rPr>
          <w:rFonts w:ascii="Google Sans Text;sans-serif" w:hAnsi="Google Sans Text;sans-serif"/>
          <w:b/>
          <w:color w:val="1F1F1F"/>
        </w:rPr>
        <w:t>Examiner:</w:t>
      </w:r>
      <w:r>
        <w:rPr>
          <w:rFonts w:ascii="Google Sans Text;sans-serif" w:hAnsi="Google Sans Text;sans-serif"/>
          <w:color w:val="1F1F1F"/>
        </w:rPr>
        <w:t xml:space="preserve"> Prof. Armein Z. R. Langi. </w:t>
      </w:r>
    </w:p>
    <w:p>
      <w:pPr>
        <w:pStyle w:val="Normal"/>
        <w:bidi w:val="0"/>
        <w:jc w:val="start"/>
        <w:rPr/>
      </w:pPr>
      <w:r>
        <w:rPr/>
      </w:r>
    </w:p>
    <w:sectPr>
      <w:type w:val="continuous"/>
      <w:pgSz w:w="11906" w:h="16838"/>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Liberation Sans">
    <w:altName w:val="Arial"/>
    <w:charset w:val="00" w:characterSet="windows-1252"/>
    <w:family w:val="swiss"/>
    <w:pitch w:val="variable"/>
  </w:font>
  <w:font w:name="Google Sans">
    <w:altName w:val="sans-serif"/>
    <w:charset w:val="00" w:characterSet="windows-1252"/>
    <w:family w:val="auto"/>
    <w:pitch w:val="default"/>
  </w:font>
  <w:font w:name="Google Sans Text">
    <w:altName w:val="sans-serif"/>
    <w:charset w:val="00" w:characterSet="windows-125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0"/>
        </w:tabs>
        <w:ind w:start="0"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2">
    <w:lvl w:ilvl="0">
      <w:start w:val="1"/>
      <w:numFmt w:val="decimal"/>
      <w:lvlText w:val="%1."/>
      <w:lvlJc w:val="start"/>
      <w:pPr>
        <w:tabs>
          <w:tab w:val="num" w:pos="0"/>
        </w:tabs>
        <w:ind w:start="0"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3">
    <w:lvl w:ilvl="0">
      <w:start w:val="1"/>
      <w:numFmt w:val="decimal"/>
      <w:lvlText w:val="%1."/>
      <w:lvlJc w:val="start"/>
      <w:pPr>
        <w:tabs>
          <w:tab w:val="num" w:pos="0"/>
        </w:tabs>
        <w:ind w:start="0"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4">
    <w:lvl w:ilvl="0">
      <w:start w:val="1"/>
      <w:numFmt w:val="decimal"/>
      <w:lvlText w:val="%1."/>
      <w:lvlJc w:val="start"/>
      <w:pPr>
        <w:tabs>
          <w:tab w:val="num" w:pos="0"/>
        </w:tabs>
        <w:ind w:start="0"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5">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pStyle w:val="Heading4"/>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w="http://schemas.openxmlformats.org/wordprocessingml/2006/main">
  <w:zoom w:percent="100"/>
  <w:defaultTabStop w:val="709"/>
  <w:autoHyphenation w:val="true"/>
  <w:hyphenationZone w:val="0"/>
  <w:compat>
    <w:adjustLineHeightInTable/>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kern w:val="2"/>
        <w:sz w:val="24"/>
        <w:szCs w:val="24"/>
        <w:lang w:val="en-ID"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SimSun" w:cs="Lucida Sans"/>
      <w:color w:val="auto"/>
      <w:kern w:val="2"/>
      <w:sz w:val="24"/>
      <w:szCs w:val="24"/>
      <w:lang w:val="en-ID" w:eastAsia="zh-CN" w:bidi="hi-IN"/>
    </w:rPr>
  </w:style>
  <w:style w:type="paragraph" w:styleId="Heading1">
    <w:name w:val="heading 1"/>
    <w:basedOn w:val="Heading"/>
    <w:next w:val="BodyText"/>
    <w:qFormat/>
    <w:pPr>
      <w:spacing w:before="240" w:after="120"/>
      <w:outlineLvl w:val="0"/>
    </w:pPr>
    <w:rPr>
      <w:rFonts w:ascii="Liberation Serif" w:hAnsi="Liberation Serif" w:eastAsia="NSimSun" w:cs="Lucida Sans"/>
      <w:b/>
      <w:bCs/>
      <w:sz w:val="48"/>
      <w:szCs w:val="48"/>
    </w:rPr>
  </w:style>
  <w:style w:type="paragraph" w:styleId="Heading2">
    <w:name w:val="heading 2"/>
    <w:basedOn w:val="Heading"/>
    <w:next w:val="BodyText"/>
    <w:qFormat/>
    <w:pPr>
      <w:spacing w:before="200" w:after="120"/>
      <w:outlineLvl w:val="1"/>
    </w:pPr>
    <w:rPr>
      <w:rFonts w:ascii="Liberation Serif" w:hAnsi="Liberation Serif" w:eastAsia="NSimSun" w:cs="Lucida Sans"/>
      <w:b/>
      <w:bCs/>
      <w:sz w:val="36"/>
      <w:szCs w:val="36"/>
    </w:rPr>
  </w:style>
  <w:style w:type="paragraph" w:styleId="Heading3">
    <w:name w:val="heading 3"/>
    <w:basedOn w:val="Heading"/>
    <w:next w:val="BodyText"/>
    <w:qFormat/>
    <w:pPr>
      <w:spacing w:before="140" w:after="120"/>
      <w:outlineLvl w:val="2"/>
    </w:pPr>
    <w:rPr>
      <w:rFonts w:ascii="Liberation Serif" w:hAnsi="Liberation Serif" w:eastAsia="NSimSun" w:cs="Lucida Sans"/>
      <w:b/>
      <w:bCs/>
      <w:sz w:val="28"/>
      <w:szCs w:val="28"/>
    </w:rPr>
  </w:style>
  <w:style w:type="paragraph" w:styleId="Heading4">
    <w:name w:val="heading 4"/>
    <w:basedOn w:val="Heading"/>
    <w:next w:val="BodyText"/>
    <w:qFormat/>
    <w:pPr>
      <w:spacing w:before="120" w:after="120"/>
      <w:outlineLvl w:val="3"/>
    </w:pPr>
    <w:rPr>
      <w:rFonts w:ascii="Liberation Serif" w:hAnsi="Liberation Serif" w:eastAsia="NSimSun" w:cs="Lucida Sans"/>
      <w:b/>
      <w:bCs/>
      <w:sz w:val="24"/>
      <w:szCs w:val="24"/>
    </w:rPr>
  </w:style>
  <w:style w:type="character" w:styleId="NumberingSymbols">
    <w:name w:val="Numbering Symbols"/>
    <w:qFormat/>
    <w:rPr/>
  </w:style>
  <w:style w:type="character" w:styleId="Strong">
    <w:name w:val="Strong"/>
    <w:qFormat/>
    <w:rPr>
      <w:b/>
      <w:bCs/>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13</TotalTime>
  <Application>LibreOffice/26.2.1.2$Windows_X86_64 LibreOffice_project/620$Build-2</Application>
  <AppVersion>15.0000</AppVersion>
  <Pages>10</Pages>
  <Words>3220</Words>
  <Characters>20019</Characters>
  <CharactersWithSpaces>23051</CharactersWithSpaces>
  <Paragraphs>168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2026-03-30T18:38:20Z</dcterms:created>
  <dc:creator/>
  <dc:description/>
  <dc:language>en-ID</dc:language>
  <cp:lastModifiedBy/>
  <dcterms:modified xsi:type="dcterms:W3CDTF">2026-03-30T18:51:56Z</dcterms:modified>
  <cp:revision>1</cp:revision>
  <dc:subject/>
  <dc:title/>
</cp:coreProperties>
</file>