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
    </w:p>
    <w:p>
      <w:pPr>
        <w:pStyle w:val="Heading1"/>
        <w:bidi w:val="0"/>
        <w:ind w:hanging="0" w:start="0"/>
        <w:jc w:val="start"/>
        <w:rPr/>
      </w:pPr>
      <w:r>
        <w:rPr/>
        <w:t xml:space="preserve">Responses to Reviewer </w:t>
      </w:r>
      <w:r>
        <w:rPr/>
        <w:t>1</w:t>
      </w:r>
    </w:p>
    <w:p>
      <w:pPr>
        <w:pStyle w:val="BodyText"/>
        <w:bidi w:val="0"/>
        <w:jc w:val="start"/>
        <w:rPr/>
      </w:pPr>
      <w:r>
        <w:rPr/>
        <w:t>We appreciate fully th</w:t>
      </w:r>
      <w:r>
        <w:rPr/>
        <w:t>e</w:t>
      </w:r>
      <w:r>
        <w:rPr/>
        <w:t xml:space="preserve"> comments. We accept the comments and respond accordingly. </w:t>
      </w:r>
      <w:r>
        <w:rPr/>
        <w:t xml:space="preserve">Based on the feedback from </w:t>
      </w:r>
      <w:r>
        <w:rPr/>
        <w:t xml:space="preserve">the </w:t>
      </w:r>
      <w:r>
        <w:rPr/>
        <w:t>Reviewer, here is the detailed breakdown of the comments, the original text affected (with page and line numbers), and the proposed new text to address these specific concerns.</w:t>
      </w:r>
    </w:p>
    <w:p>
      <w:pPr>
        <w:pStyle w:val="BodyText"/>
        <w:bidi w:val="0"/>
        <w:jc w:val="start"/>
        <w:rPr/>
      </w:pPr>
      <w:r>
        <w:rPr/>
        <w:t xml:space="preserve">While </w:t>
      </w:r>
      <w:r>
        <w:rPr/>
        <w:t xml:space="preserve">the </w:t>
      </w:r>
      <w:r>
        <w:rPr/>
        <w:t xml:space="preserve">Reviewer highlighted the strong conceptual novelty of the TISE-VALORIZE framework, the </w:t>
      </w:r>
      <w:r>
        <w:rPr/>
        <w:t>zreviewer’s</w:t>
      </w:r>
      <w:r>
        <w:rPr/>
        <w:t xml:space="preserve"> primary concerns centered on the empirical limitations of the study.</w:t>
      </w:r>
    </w:p>
    <w:p>
      <w:pPr>
        <w:pStyle w:val="BodyText"/>
        <w:bidi w:val="0"/>
        <w:jc w:val="start"/>
        <w:rPr/>
      </w:pPr>
      <w:r>
        <w:rPr>
          <w:rStyle w:val="Strong"/>
        </w:rPr>
        <w:t>1. Single-Institution and Cross-Cohort Design (Possible Confounding)</w:t>
      </w:r>
    </w:p>
    <w:p>
      <w:pPr>
        <w:pStyle w:val="BodyText"/>
        <w:numPr>
          <w:ilvl w:val="0"/>
          <w:numId w:val="16"/>
        </w:numPr>
        <w:tabs>
          <w:tab w:val="clear" w:pos="709"/>
          <w:tab w:val="left" w:pos="709" w:leader="none"/>
        </w:tabs>
        <w:bidi w:val="0"/>
        <w:spacing w:before="0" w:after="0"/>
        <w:ind w:hanging="283" w:start="709"/>
        <w:jc w:val="start"/>
        <w:rPr/>
      </w:pPr>
      <w:r>
        <w:rPr>
          <w:rStyle w:val="Strong"/>
        </w:rPr>
        <w:t>Reviewer Comment:</w:t>
      </w:r>
      <w:r>
        <w:rPr/>
        <w:t xml:space="preserve"> The empirical validation is still limited by a single-institution, cross-cohort design, and possible confounding across semesters. </w:t>
      </w:r>
    </w:p>
    <w:p>
      <w:pPr>
        <w:pStyle w:val="BodyText"/>
        <w:numPr>
          <w:ilvl w:val="0"/>
          <w:numId w:val="16"/>
        </w:numPr>
        <w:tabs>
          <w:tab w:val="clear" w:pos="709"/>
          <w:tab w:val="left" w:pos="709" w:leader="none"/>
        </w:tabs>
        <w:bidi w:val="0"/>
        <w:spacing w:before="0" w:after="0"/>
        <w:ind w:hanging="283" w:start="709"/>
        <w:jc w:val="start"/>
        <w:rPr/>
      </w:pPr>
      <w:r>
        <w:rPr>
          <w:rStyle w:val="Strong"/>
        </w:rPr>
        <w:t>Affected Original Text:</w:t>
      </w:r>
      <w:r>
        <w:rPr/>
        <w:t xml:space="preserve"> Page 12, Lines 413–415: </w:t>
      </w:r>
      <w:r>
        <w:rPr>
          <w:rStyle w:val="Emphasis"/>
        </w:rPr>
        <w:t>"Differences across semesters (in terms of student demographics, outside factors, and scheduling issues) may affect the findings, no matter what framework is used."</w:t>
      </w:r>
      <w:r>
        <w:rPr/>
        <w:t xml:space="preserve"> AND Page 12, Lines 445–449: </w:t>
      </w:r>
      <w:r>
        <w:rPr>
          <w:rStyle w:val="Emphasis"/>
        </w:rPr>
        <w:t>"1. Single-institution design: Results pertain only to engineering education... 2. Cross-cohort confounding: Variations across semesters..."</w:t>
      </w:r>
      <w:r>
        <w:rPr/>
        <w:t xml:space="preserve"> </w:t>
      </w:r>
    </w:p>
    <w:p>
      <w:pPr>
        <w:pStyle w:val="BodyText"/>
        <w:numPr>
          <w:ilvl w:val="0"/>
          <w:numId w:val="16"/>
        </w:numPr>
        <w:tabs>
          <w:tab w:val="clear" w:pos="709"/>
          <w:tab w:val="left" w:pos="709" w:leader="none"/>
        </w:tabs>
        <w:bidi w:val="0"/>
        <w:ind w:hanging="283" w:start="709"/>
        <w:jc w:val="start"/>
        <w:rPr/>
      </w:pPr>
      <w:r>
        <w:rPr>
          <w:rStyle w:val="Strong"/>
        </w:rPr>
        <w:t>Proposed New Text:</w:t>
      </w:r>
      <w:r>
        <w:rPr/>
        <w:t xml:space="preserve"> Integrate this more critically into the discussion to explicitly address the confounding risk: </w:t>
      </w:r>
      <w:r>
        <w:rPr>
          <w:rStyle w:val="Emphasis"/>
        </w:rPr>
        <w:t>"A primary limitation of this study is its single-institution, cross-cohort quasi-experimental design. Because the experimental and control groups were drawn from different academic semesters (Even 2023/2024, Odd 2024/2025, and Odd 2025/2026), the observed differences in academic performance may be confounded by uncontrolled cohort effects, such as variations in student baseline abilities, scheduling differences, or evolving institutional contexts. Consequently, these findings should be interpreted as preliminary."</w:t>
      </w:r>
      <w:r>
        <w:rPr/>
        <w:t xml:space="preserve"> </w:t>
      </w:r>
    </w:p>
    <w:p>
      <w:pPr>
        <w:pStyle w:val="BodyText"/>
        <w:bidi w:val="0"/>
        <w:jc w:val="start"/>
        <w:rPr/>
      </w:pPr>
      <w:r>
        <w:rPr>
          <w:rStyle w:val="Strong"/>
        </w:rPr>
        <w:t>2. Modest Effect Size</w:t>
      </w:r>
    </w:p>
    <w:p>
      <w:pPr>
        <w:pStyle w:val="BodyText"/>
        <w:numPr>
          <w:ilvl w:val="0"/>
          <w:numId w:val="17"/>
        </w:numPr>
        <w:tabs>
          <w:tab w:val="clear" w:pos="709"/>
          <w:tab w:val="left" w:pos="709" w:leader="none"/>
        </w:tabs>
        <w:bidi w:val="0"/>
        <w:spacing w:before="0" w:after="0"/>
        <w:ind w:hanging="283" w:start="709"/>
        <w:jc w:val="start"/>
        <w:rPr/>
      </w:pPr>
      <w:r>
        <w:rPr>
          <w:rStyle w:val="Strong"/>
        </w:rPr>
        <w:t>Reviewer Comment:</w:t>
      </w:r>
      <w:r>
        <w:rPr/>
        <w:t xml:space="preserve"> The study relies on a modest effect size, which requires stronger contextualization. </w:t>
      </w:r>
    </w:p>
    <w:p>
      <w:pPr>
        <w:pStyle w:val="BodyText"/>
        <w:numPr>
          <w:ilvl w:val="0"/>
          <w:numId w:val="17"/>
        </w:numPr>
        <w:tabs>
          <w:tab w:val="clear" w:pos="709"/>
          <w:tab w:val="left" w:pos="709" w:leader="none"/>
        </w:tabs>
        <w:bidi w:val="0"/>
        <w:spacing w:before="0" w:after="0"/>
        <w:ind w:hanging="283" w:start="709"/>
        <w:jc w:val="start"/>
        <w:rPr/>
      </w:pPr>
      <w:r>
        <w:rPr>
          <w:rStyle w:val="Strong"/>
        </w:rPr>
        <w:t>Affected Original Text:</w:t>
      </w:r>
      <w:r>
        <w:rPr/>
        <w:t xml:space="preserve"> Page 10, Lines 335–339: </w:t>
      </w:r>
      <w:r>
        <w:rPr>
          <w:rStyle w:val="Emphasis"/>
        </w:rPr>
        <w:t>"This difference was statistically significant (F (2,135) = 4.41, p = .014), however the effect size was only modest (η² = .061). This suggests that the TISE-VALORIZE framework was responsible for around 6% of the rise in results. The remaining 94% came from things like initial motivation, prior technical knowledge, and help outside of class."</w:t>
      </w:r>
      <w:r>
        <w:rPr/>
        <w:t xml:space="preserve"> </w:t>
      </w:r>
    </w:p>
    <w:p>
      <w:pPr>
        <w:pStyle w:val="BodyText"/>
        <w:numPr>
          <w:ilvl w:val="0"/>
          <w:numId w:val="17"/>
        </w:numPr>
        <w:tabs>
          <w:tab w:val="clear" w:pos="709"/>
          <w:tab w:val="left" w:pos="709" w:leader="none"/>
        </w:tabs>
        <w:bidi w:val="0"/>
        <w:ind w:hanging="283" w:start="709"/>
        <w:jc w:val="start"/>
        <w:rPr/>
      </w:pPr>
      <w:r>
        <w:rPr>
          <w:rStyle w:val="Strong"/>
        </w:rPr>
        <w:t>Proposed New Text:</w:t>
      </w:r>
      <w:r>
        <w:rPr/>
        <w:t xml:space="preserve"> Correct the statistical interpretation of η² and maintain scientific modesty: </w:t>
      </w:r>
      <w:r>
        <w:rPr>
          <w:rStyle w:val="Emphasis"/>
        </w:rPr>
        <w:t>"Although the performance difference was statistically significant, the effect size was small-to-medium (η² = .061). This indicates that the TISE-VALORIZE intervention accounts for approximately 6.1% of the total variance in academic scores. While this effect size is typical for authentic, complex educational interventions, it emphasizes that the vast majority of performance variance (93.9%) remains attributable to uncontrolled factors, such as students' prior technical proficiency, baseline intrinsic motivation, and external support systems."</w:t>
      </w:r>
      <w:r>
        <w:rPr/>
        <w:t xml:space="preserve"> </w:t>
      </w:r>
    </w:p>
    <w:p>
      <w:pPr>
        <w:pStyle w:val="BodyText"/>
        <w:bidi w:val="0"/>
        <w:jc w:val="start"/>
        <w:rPr/>
      </w:pPr>
      <w:r>
        <w:rPr>
          <w:rStyle w:val="Strong"/>
        </w:rPr>
        <w:t>3. Insufficient Direct Measurement of Motivation and Cognitive Load</w:t>
      </w:r>
    </w:p>
    <w:p>
      <w:pPr>
        <w:pStyle w:val="BodyText"/>
        <w:numPr>
          <w:ilvl w:val="0"/>
          <w:numId w:val="18"/>
        </w:numPr>
        <w:tabs>
          <w:tab w:val="clear" w:pos="709"/>
          <w:tab w:val="left" w:pos="709" w:leader="none"/>
        </w:tabs>
        <w:bidi w:val="0"/>
        <w:spacing w:before="0" w:after="0"/>
        <w:ind w:hanging="283" w:start="709"/>
        <w:jc w:val="start"/>
        <w:rPr/>
      </w:pPr>
      <w:r>
        <w:rPr>
          <w:rStyle w:val="Strong"/>
        </w:rPr>
        <w:t>Reviewer Comment:</w:t>
      </w:r>
      <w:r>
        <w:rPr/>
        <w:t xml:space="preserve"> There is an insufficient direct measurement of motivation and cognitive load to strongly support the theoretical claims. </w:t>
      </w:r>
    </w:p>
    <w:p>
      <w:pPr>
        <w:pStyle w:val="BodyText"/>
        <w:numPr>
          <w:ilvl w:val="0"/>
          <w:numId w:val="18"/>
        </w:numPr>
        <w:tabs>
          <w:tab w:val="clear" w:pos="709"/>
          <w:tab w:val="left" w:pos="709" w:leader="none"/>
        </w:tabs>
        <w:bidi w:val="0"/>
        <w:spacing w:before="0" w:after="0"/>
        <w:ind w:hanging="283" w:start="709"/>
        <w:jc w:val="start"/>
        <w:rPr/>
      </w:pPr>
      <w:r>
        <w:rPr>
          <w:rStyle w:val="Strong"/>
        </w:rPr>
        <w:t>Affected Original Text:</w:t>
      </w:r>
      <w:r>
        <w:rPr/>
        <w:t xml:space="preserve"> Page 12, Lines 406–408: </w:t>
      </w:r>
      <w:r>
        <w:rPr>
          <w:rStyle w:val="Emphasis"/>
        </w:rPr>
        <w:t>"Nonetheless, this interpretation is speculative due to the absence of clear measurements for autonomy, competence, relatedness, or cognitive effort (NASA-TLX)..."</w:t>
      </w:r>
      <w:r>
        <w:rPr/>
        <w:t xml:space="preserve"> AND Lines 416–419: </w:t>
      </w:r>
      <w:r>
        <w:rPr>
          <w:rStyle w:val="Emphasis"/>
        </w:rPr>
        <w:t>"Most crucially, artifact quality evaluations alone do not directly assess the psychological attributes posited by the framework, including cognitive load, intrinsic motivation, or the transfer of learning."</w:t>
      </w:r>
      <w:r>
        <w:rPr/>
        <w:t xml:space="preserve"> </w:t>
      </w:r>
    </w:p>
    <w:p>
      <w:pPr>
        <w:pStyle w:val="BodyText"/>
        <w:numPr>
          <w:ilvl w:val="0"/>
          <w:numId w:val="18"/>
        </w:numPr>
        <w:tabs>
          <w:tab w:val="clear" w:pos="709"/>
          <w:tab w:val="left" w:pos="709" w:leader="none"/>
        </w:tabs>
        <w:bidi w:val="0"/>
        <w:ind w:hanging="283" w:start="709"/>
        <w:jc w:val="start"/>
        <w:rPr/>
      </w:pPr>
      <w:r>
        <w:rPr>
          <w:rStyle w:val="Strong"/>
        </w:rPr>
        <w:t>Proposed New Text:</w:t>
      </w:r>
      <w:r>
        <w:rPr/>
        <w:t xml:space="preserve"> Move this explicitly into the Results/Interpretation section to temper claims immediately: </w:t>
      </w:r>
      <w:r>
        <w:rPr>
          <w:rStyle w:val="Emphasis"/>
        </w:rPr>
        <w:t>"We hypothesize that the 84% reduction in score variance is consistent with the alleviation of extraneous cognitive load and the support of basic psychological needs (autonomy, competence, relatedness). However, a critical limitation of our methodology is the reliance on behavioral proxies (academic scores and artifact quality) rather than direct psychometric evaluations. Without validated instruments such as the NASA-TLX for cognitive load or the Intrinsic Motivation Inventory (IMI) for Self-Determination Theory variables, our claims regarding students' internal cognitive and motivational states remain theoretical and require direct empirical validation."</w:t>
      </w:r>
      <w:r>
        <w:rPr/>
        <w:t xml:space="preserve"> </w:t>
      </w:r>
    </w:p>
    <w:p>
      <w:pPr>
        <w:pStyle w:val="BodyText"/>
        <w:bidi w:val="0"/>
        <w:jc w:val="start"/>
        <w:rPr/>
      </w:pPr>
      <w:r>
        <w:rPr>
          <w:rStyle w:val="Strong"/>
        </w:rPr>
        <w:t>4. The Need for Stronger Large-Scale Validation</w:t>
      </w:r>
    </w:p>
    <w:p>
      <w:pPr>
        <w:pStyle w:val="BodyText"/>
        <w:numPr>
          <w:ilvl w:val="0"/>
          <w:numId w:val="19"/>
        </w:numPr>
        <w:tabs>
          <w:tab w:val="clear" w:pos="709"/>
          <w:tab w:val="left" w:pos="709" w:leader="none"/>
        </w:tabs>
        <w:bidi w:val="0"/>
        <w:spacing w:before="0" w:after="0"/>
        <w:ind w:hanging="283" w:start="709"/>
        <w:jc w:val="start"/>
        <w:rPr/>
      </w:pPr>
      <w:r>
        <w:rPr>
          <w:rStyle w:val="Strong"/>
        </w:rPr>
        <w:t>Reviewer Comment:</w:t>
      </w:r>
      <w:r>
        <w:rPr/>
        <w:t xml:space="preserve"> The framework is promising, but stronger large-scale validation is still needed. </w:t>
      </w:r>
    </w:p>
    <w:p>
      <w:pPr>
        <w:pStyle w:val="BodyText"/>
        <w:numPr>
          <w:ilvl w:val="0"/>
          <w:numId w:val="19"/>
        </w:numPr>
        <w:tabs>
          <w:tab w:val="clear" w:pos="709"/>
          <w:tab w:val="left" w:pos="709" w:leader="none"/>
        </w:tabs>
        <w:bidi w:val="0"/>
        <w:spacing w:before="0" w:after="0"/>
        <w:ind w:hanging="283" w:start="709"/>
        <w:jc w:val="start"/>
        <w:rPr/>
      </w:pPr>
      <w:r>
        <w:rPr>
          <w:rStyle w:val="Strong"/>
        </w:rPr>
        <w:t>Affected Original Text:</w:t>
      </w:r>
      <w:r>
        <w:rPr/>
        <w:t xml:space="preserve"> Page 13, Lines 463–468: </w:t>
      </w:r>
      <w:r>
        <w:rPr>
          <w:rStyle w:val="Emphasis"/>
        </w:rPr>
        <w:t>"A forthcoming empirical agenda for stringent validation necessitates: validated instruments for cognitive load... matched or randomized cohorts with pre-post designs; multi-institutional studies to assess generalizability..."</w:t>
      </w:r>
      <w:r>
        <w:rPr/>
        <w:t xml:space="preserve"> </w:t>
      </w:r>
    </w:p>
    <w:p>
      <w:pPr>
        <w:pStyle w:val="BodyText"/>
        <w:numPr>
          <w:ilvl w:val="0"/>
          <w:numId w:val="19"/>
        </w:numPr>
        <w:tabs>
          <w:tab w:val="clear" w:pos="709"/>
          <w:tab w:val="left" w:pos="709" w:leader="none"/>
        </w:tabs>
        <w:bidi w:val="0"/>
        <w:ind w:hanging="283" w:start="709"/>
        <w:jc w:val="start"/>
        <w:rPr/>
      </w:pPr>
      <w:r>
        <w:rPr>
          <w:rStyle w:val="Strong"/>
        </w:rPr>
        <w:t>Proposed New Text:</w:t>
      </w:r>
      <w:r>
        <w:rPr/>
        <w:t xml:space="preserve"> Enhance the Future Directions paragraph to directly answer the reviewer's call for scale: </w:t>
      </w:r>
      <w:r>
        <w:rPr>
          <w:rStyle w:val="Emphasis"/>
        </w:rPr>
        <w:t>"To transition this framework from a promising conceptual model to a validated educational standard, future research must prioritize large-scale, multi-institutional randomized controlled trials (RCTs). These studies must utilize pretest-posttest designs to control for baseline equivalence and employ validated psychometric scales (e.g., NASA-TLX, SDT inventories) to directly measure the framework's impact on cognitive load and motivation. Only through such large-scale validation can the generalizability of the TISE-VALORIZE framework be firmly established."</w:t>
      </w:r>
      <w:r>
        <w:rPr/>
        <w:t xml:space="preserve"> </w:t>
      </w:r>
    </w:p>
    <w:p>
      <w:pPr>
        <w:pStyle w:val="BodyText"/>
        <w:bidi w:val="0"/>
        <w:jc w:val="start"/>
        <w:rPr/>
      </w:pPr>
      <w:r>
        <w:rPr/>
      </w:r>
    </w:p>
    <w:p>
      <w:pPr>
        <w:pStyle w:val="Heading1"/>
        <w:bidi w:val="0"/>
        <w:ind w:hanging="0" w:start="0"/>
        <w:jc w:val="start"/>
        <w:rPr/>
      </w:pPr>
      <w:r>
        <w:rPr/>
        <w:t>Responses to Reviewer 2</w:t>
      </w:r>
    </w:p>
    <w:p>
      <w:pPr>
        <w:pStyle w:val="BodyText"/>
        <w:bidi w:val="0"/>
        <w:jc w:val="start"/>
        <w:rPr/>
      </w:pPr>
      <w:r>
        <w:rPr/>
        <w:t xml:space="preserve">Weare very grateful for not only very thoughtful comments, but also very constructive with advices and proposed solutions to improve our paper manuscript. We accept the comments and respond accordingly. </w:t>
      </w:r>
      <w:r>
        <w:rPr/>
        <w:t>Here is the breakdown of Reviewer 2's comments, the original text affected (with page and line numbers), and the proposed new text.</w:t>
      </w:r>
    </w:p>
    <w:p>
      <w:pPr>
        <w:pStyle w:val="BodyText"/>
        <w:bidi w:val="0"/>
        <w:jc w:val="start"/>
        <w:rPr/>
      </w:pPr>
      <w:r>
        <w:rPr>
          <w:rStyle w:val="Strong"/>
        </w:rPr>
        <w:t>1. Title Density</w:t>
      </w:r>
    </w:p>
    <w:p>
      <w:pPr>
        <w:pStyle w:val="BodyText"/>
        <w:numPr>
          <w:ilvl w:val="0"/>
          <w:numId w:val="2"/>
        </w:numPr>
        <w:tabs>
          <w:tab w:val="clear" w:pos="709"/>
          <w:tab w:val="left" w:pos="709" w:leader="none"/>
        </w:tabs>
        <w:bidi w:val="0"/>
        <w:spacing w:before="0" w:after="0"/>
        <w:ind w:hanging="283" w:start="709"/>
        <w:jc w:val="start"/>
        <w:rPr/>
      </w:pPr>
      <w:r>
        <w:rPr>
          <w:rStyle w:val="Strong"/>
        </w:rPr>
        <w:t>Reviewer Comment:</w:t>
      </w:r>
      <w:r>
        <w:rPr/>
        <w:t xml:space="preserve"> The title is informative but rather long and dense. </w:t>
      </w:r>
    </w:p>
    <w:p>
      <w:pPr>
        <w:pStyle w:val="BodyText"/>
        <w:numPr>
          <w:ilvl w:val="0"/>
          <w:numId w:val="2"/>
        </w:numPr>
        <w:tabs>
          <w:tab w:val="clear" w:pos="709"/>
          <w:tab w:val="left" w:pos="709" w:leader="none"/>
        </w:tabs>
        <w:bidi w:val="0"/>
        <w:spacing w:before="0" w:after="0"/>
        <w:ind w:hanging="283" w:start="709"/>
        <w:jc w:val="start"/>
        <w:rPr/>
      </w:pPr>
      <w:r>
        <w:rPr>
          <w:rStyle w:val="Strong"/>
        </w:rPr>
        <w:t>Affected Original Text:</w:t>
      </w:r>
      <w:r>
        <w:rPr/>
        <w:t xml:space="preserve"> Page 1, Lines 1–3: </w:t>
      </w:r>
      <w:r>
        <w:rPr>
          <w:rStyle w:val="Emphasis"/>
        </w:rPr>
        <w:t>"Orchestrating Value Co-Creation in Digital Education Using the TISE-VALORIZE Framework: From Knowing to Becoming"</w:t>
      </w:r>
      <w:r>
        <w:rPr/>
        <w:t xml:space="preserve">. </w:t>
      </w:r>
    </w:p>
    <w:p>
      <w:pPr>
        <w:pStyle w:val="BodyText"/>
        <w:numPr>
          <w:ilvl w:val="0"/>
          <w:numId w:val="2"/>
        </w:numPr>
        <w:tabs>
          <w:tab w:val="clear" w:pos="709"/>
          <w:tab w:val="left" w:pos="709" w:leader="none"/>
        </w:tabs>
        <w:bidi w:val="0"/>
        <w:ind w:hanging="283" w:start="709"/>
        <w:jc w:val="start"/>
        <w:rPr/>
      </w:pPr>
      <w:r>
        <w:rPr>
          <w:rStyle w:val="Strong"/>
        </w:rPr>
        <w:t>Proposed New Text:</w:t>
      </w:r>
      <w:r>
        <w:rPr/>
        <w:t xml:space="preserve"> </w:t>
      </w:r>
      <w:r>
        <w:rPr>
          <w:rStyle w:val="Emphasis"/>
        </w:rPr>
        <w:t>"The TISE-VALORIZE Framework for Value Co-Creation in Digital Engineering Education"</w:t>
      </w:r>
      <w:r>
        <w:rPr/>
        <w:t xml:space="preserve"> (This removes the dense subtitle while retaining the core information). </w:t>
      </w:r>
    </w:p>
    <w:p>
      <w:pPr>
        <w:pStyle w:val="BodyText"/>
        <w:bidi w:val="0"/>
        <w:jc w:val="start"/>
        <w:rPr/>
      </w:pPr>
      <w:r>
        <w:rPr>
          <w:rStyle w:val="Strong"/>
        </w:rPr>
        <w:t>2. Abstract Structure, Statistics, and Normative Language</w:t>
      </w:r>
    </w:p>
    <w:p>
      <w:pPr>
        <w:pStyle w:val="BodyText"/>
        <w:numPr>
          <w:ilvl w:val="0"/>
          <w:numId w:val="3"/>
        </w:numPr>
        <w:tabs>
          <w:tab w:val="clear" w:pos="709"/>
          <w:tab w:val="left" w:pos="709" w:leader="none"/>
        </w:tabs>
        <w:bidi w:val="0"/>
        <w:spacing w:before="0" w:after="0"/>
        <w:ind w:hanging="283" w:start="709"/>
        <w:jc w:val="start"/>
        <w:rPr/>
      </w:pPr>
      <w:r>
        <w:rPr>
          <w:rStyle w:val="Strong"/>
        </w:rPr>
        <w:t>Reviewer Comment:</w:t>
      </w:r>
      <w:r>
        <w:rPr/>
        <w:t xml:space="preserve"> The abstract lacks explicit statistical support, sample size, and research design. The phrase "fair and useful to learn" is too normative. Needs a strict structure. </w:t>
      </w:r>
    </w:p>
    <w:p>
      <w:pPr>
        <w:pStyle w:val="BodyText"/>
        <w:numPr>
          <w:ilvl w:val="0"/>
          <w:numId w:val="3"/>
        </w:numPr>
        <w:tabs>
          <w:tab w:val="clear" w:pos="709"/>
          <w:tab w:val="left" w:pos="709" w:leader="none"/>
        </w:tabs>
        <w:bidi w:val="0"/>
        <w:spacing w:before="0" w:after="0"/>
        <w:ind w:hanging="283" w:start="709"/>
        <w:jc w:val="start"/>
        <w:rPr/>
      </w:pPr>
      <w:r>
        <w:rPr>
          <w:rStyle w:val="Strong"/>
        </w:rPr>
        <w:t>Affected Original Text:</w:t>
      </w:r>
      <w:r>
        <w:rPr/>
        <w:t xml:space="preserve"> Page 1, Lines 18–26: </w:t>
      </w:r>
      <w:r>
        <w:rPr>
          <w:rStyle w:val="Emphasis"/>
        </w:rPr>
        <w:t>"To test this strategy, the framework was compared to conventional instruction in an initial study of three groups of undergraduate engineering students. Statistical results show that the experimental group did far better in school and had a much smaller range of scores than the control groups. These results indicate that the framework promotes more equal and consistent learning outcomes..."</w:t>
      </w:r>
      <w:r>
        <w:rPr/>
        <w:t xml:space="preserve">. </w:t>
      </w:r>
    </w:p>
    <w:p>
      <w:pPr>
        <w:pStyle w:val="BodyText"/>
        <w:numPr>
          <w:ilvl w:val="0"/>
          <w:numId w:val="3"/>
        </w:numPr>
        <w:tabs>
          <w:tab w:val="clear" w:pos="709"/>
          <w:tab w:val="left" w:pos="709" w:leader="none"/>
        </w:tabs>
        <w:bidi w:val="0"/>
        <w:ind w:hanging="283" w:start="709"/>
        <w:jc w:val="start"/>
        <w:rPr/>
      </w:pPr>
      <w:r>
        <w:rPr>
          <w:rStyle w:val="Strong"/>
        </w:rPr>
        <w:t>Proposed New Text:</w:t>
      </w:r>
      <w:r>
        <w:rPr/>
        <w:t xml:space="preserve"> </w:t>
      </w:r>
      <w:r>
        <w:rPr>
          <w:rStyle w:val="Emphasis"/>
        </w:rPr>
        <w:t>"A quasi-experimental posttest-only study involving 138 undergraduate engineering students compared the TISE-VALORIZE framework (n=53) with two control groups receiving conventional instruction (n=42, n=43). Results showed significantly higher mean academic scores (M=94.98, SD=7.21) and an 84% lower variance (p &lt; .05) compared to controls. These preliminary findings suggest the framework produces more equitable learning outcomes."</w:t>
      </w:r>
      <w:r>
        <w:rPr/>
        <w:t xml:space="preserve"> </w:t>
      </w:r>
    </w:p>
    <w:p>
      <w:pPr>
        <w:pStyle w:val="BodyText"/>
        <w:bidi w:val="0"/>
        <w:jc w:val="start"/>
        <w:rPr/>
      </w:pPr>
      <w:r>
        <w:rPr>
          <w:rStyle w:val="Strong"/>
        </w:rPr>
        <w:t>3. Explicit Statement of Hypotheses</w:t>
      </w:r>
    </w:p>
    <w:p>
      <w:pPr>
        <w:pStyle w:val="BodyText"/>
        <w:numPr>
          <w:ilvl w:val="0"/>
          <w:numId w:val="4"/>
        </w:numPr>
        <w:tabs>
          <w:tab w:val="clear" w:pos="709"/>
          <w:tab w:val="left" w:pos="709" w:leader="none"/>
        </w:tabs>
        <w:bidi w:val="0"/>
        <w:spacing w:before="0" w:after="0"/>
        <w:ind w:hanging="283" w:start="709"/>
        <w:jc w:val="start"/>
        <w:rPr/>
      </w:pPr>
      <w:r>
        <w:rPr>
          <w:rStyle w:val="Strong"/>
        </w:rPr>
        <w:t>Reviewer Comment:</w:t>
      </w:r>
      <w:r>
        <w:rPr/>
        <w:t xml:space="preserve"> Hypotheses are not explicitly stated at the end of the introduction and are currently buried in the text. </w:t>
      </w:r>
    </w:p>
    <w:p>
      <w:pPr>
        <w:pStyle w:val="BodyText"/>
        <w:numPr>
          <w:ilvl w:val="0"/>
          <w:numId w:val="4"/>
        </w:numPr>
        <w:tabs>
          <w:tab w:val="clear" w:pos="709"/>
          <w:tab w:val="left" w:pos="709" w:leader="none"/>
        </w:tabs>
        <w:bidi w:val="0"/>
        <w:spacing w:before="0" w:after="0"/>
        <w:ind w:hanging="283" w:start="709"/>
        <w:jc w:val="start"/>
        <w:rPr/>
      </w:pPr>
      <w:r>
        <w:rPr>
          <w:rStyle w:val="Strong"/>
        </w:rPr>
        <w:t>Affected Original Text:</w:t>
      </w:r>
      <w:r>
        <w:rPr/>
        <w:t xml:space="preserve"> Page 2, Lines 58–76: </w:t>
      </w:r>
      <w:r>
        <w:rPr>
          <w:rStyle w:val="Emphasis"/>
        </w:rPr>
        <w:t>"We examined a primary hypothesis: can instruction developed in accordance with the TISE-VALORIZE principles... provide significantly superior outcomes... The secondary hypothesis in this study focusses on five primary areas. First, we looked at..."</w:t>
      </w:r>
      <w:r>
        <w:rPr/>
        <w:t xml:space="preserve">. </w:t>
      </w:r>
    </w:p>
    <w:p>
      <w:pPr>
        <w:pStyle w:val="BodyText"/>
        <w:numPr>
          <w:ilvl w:val="0"/>
          <w:numId w:val="4"/>
        </w:numPr>
        <w:tabs>
          <w:tab w:val="clear" w:pos="709"/>
          <w:tab w:val="left" w:pos="709" w:leader="none"/>
        </w:tabs>
        <w:bidi w:val="0"/>
        <w:spacing w:before="0" w:after="0"/>
        <w:ind w:hanging="283" w:start="709"/>
        <w:jc w:val="start"/>
        <w:rPr/>
      </w:pPr>
      <w:r>
        <w:rPr>
          <w:rStyle w:val="Strong"/>
        </w:rPr>
        <w:t>Proposed New Text:</w:t>
      </w:r>
      <w:r>
        <w:rPr/>
        <w:t xml:space="preserve"> Remove the narrative hypotheses on Page 2 and place explicit bullet points at the end of the introduction: </w:t>
      </w:r>
    </w:p>
    <w:p>
      <w:pPr>
        <w:pStyle w:val="BodyText"/>
        <w:numPr>
          <w:ilvl w:val="1"/>
          <w:numId w:val="4"/>
        </w:numPr>
        <w:tabs>
          <w:tab w:val="clear" w:pos="709"/>
          <w:tab w:val="left" w:pos="1418" w:leader="none"/>
        </w:tabs>
        <w:bidi w:val="0"/>
        <w:spacing w:before="0" w:after="0"/>
        <w:ind w:hanging="283" w:start="1418"/>
        <w:jc w:val="start"/>
        <w:rPr/>
      </w:pPr>
      <w:r>
        <w:rPr>
          <w:rStyle w:val="Emphasis"/>
        </w:rPr>
        <w:t>"</w:t>
      </w:r>
      <w:r>
        <w:rPr>
          <w:rStyle w:val="Strong"/>
        </w:rPr>
        <w:t>Primary Hypothesis:</w:t>
      </w:r>
      <w:r>
        <w:rPr>
          <w:rStyle w:val="Emphasis"/>
        </w:rPr>
        <w:t xml:space="preserve"> Instruction using the TISE-VALORIZE framework yields significantly higher and more consistent academic performance than traditional teaching."</w:t>
      </w:r>
      <w:r>
        <w:rPr/>
        <w:t xml:space="preserve"> </w:t>
      </w:r>
    </w:p>
    <w:p>
      <w:pPr>
        <w:pStyle w:val="BodyText"/>
        <w:numPr>
          <w:ilvl w:val="1"/>
          <w:numId w:val="4"/>
        </w:numPr>
        <w:tabs>
          <w:tab w:val="clear" w:pos="709"/>
          <w:tab w:val="left" w:pos="1418" w:leader="none"/>
        </w:tabs>
        <w:bidi w:val="0"/>
        <w:ind w:hanging="283" w:start="1418"/>
        <w:jc w:val="start"/>
        <w:rPr/>
      </w:pPr>
      <w:r>
        <w:rPr>
          <w:rStyle w:val="Emphasis"/>
        </w:rPr>
        <w:t>"</w:t>
      </w:r>
      <w:r>
        <w:rPr>
          <w:rStyle w:val="Strong"/>
        </w:rPr>
        <w:t>Secondary Hypotheses:</w:t>
      </w:r>
      <w:r>
        <w:rPr>
          <w:rStyle w:val="Emphasis"/>
        </w:rPr>
        <w:t xml:space="preserve"> (1) The framework facilitates the construction of stronger knowledge schemas. (2) Participation enhances intrinsic motivation. (3) Professional simulations strengthen professional identity. (4) Students can transfer knowledge to novel problems. (5) Student artifacts generate community value."</w:t>
      </w:r>
      <w:r>
        <w:rPr/>
        <w:t xml:space="preserve"> </w:t>
      </w:r>
    </w:p>
    <w:p>
      <w:pPr>
        <w:pStyle w:val="BodyText"/>
        <w:bidi w:val="0"/>
        <w:jc w:val="start"/>
        <w:rPr/>
      </w:pPr>
      <w:r>
        <w:rPr>
          <w:rStyle w:val="Strong"/>
        </w:rPr>
        <w:t>4. Streamlining Citations and Logical Flow in Introduction</w:t>
      </w:r>
    </w:p>
    <w:p>
      <w:pPr>
        <w:pStyle w:val="BodyText"/>
        <w:numPr>
          <w:ilvl w:val="0"/>
          <w:numId w:val="5"/>
        </w:numPr>
        <w:tabs>
          <w:tab w:val="clear" w:pos="709"/>
          <w:tab w:val="left" w:pos="709" w:leader="none"/>
        </w:tabs>
        <w:bidi w:val="0"/>
        <w:spacing w:before="0" w:after="0"/>
        <w:ind w:hanging="283" w:start="709"/>
        <w:jc w:val="start"/>
        <w:rPr/>
      </w:pPr>
      <w:r>
        <w:rPr>
          <w:rStyle w:val="Strong"/>
        </w:rPr>
        <w:t>Reviewer Comment:</w:t>
      </w:r>
      <w:r>
        <w:rPr/>
        <w:t xml:space="preserve"> Too many references disrupt the narrative flow (e.g., pp. 4-5). The logical link between CLT, SDT, and professional identity needs tightening. </w:t>
      </w:r>
    </w:p>
    <w:p>
      <w:pPr>
        <w:pStyle w:val="BodyText"/>
        <w:numPr>
          <w:ilvl w:val="0"/>
          <w:numId w:val="5"/>
        </w:numPr>
        <w:tabs>
          <w:tab w:val="clear" w:pos="709"/>
          <w:tab w:val="left" w:pos="709" w:leader="none"/>
        </w:tabs>
        <w:bidi w:val="0"/>
        <w:spacing w:before="0" w:after="0"/>
        <w:ind w:hanging="283" w:start="709"/>
        <w:jc w:val="start"/>
        <w:rPr/>
      </w:pPr>
      <w:r>
        <w:rPr>
          <w:rStyle w:val="Strong"/>
        </w:rPr>
        <w:t>Affected Original Text:</w:t>
      </w:r>
      <w:r>
        <w:rPr/>
        <w:t xml:space="preserve"> Page 2–3, Lines 88–101: </w:t>
      </w:r>
      <w:r>
        <w:rPr>
          <w:rStyle w:val="Emphasis"/>
        </w:rPr>
        <w:t>"They collaborate with educators and technology... (Prahalad and Ramaswamy, 2004; Grönroos and Voima, 2014; Robayo-Pinzon et al., 2023; Jamil, O’Connor and Shelton, 2025)..."</w:t>
      </w:r>
      <w:r>
        <w:rPr/>
        <w:t xml:space="preserve">. </w:t>
      </w:r>
    </w:p>
    <w:p>
      <w:pPr>
        <w:pStyle w:val="BodyText"/>
        <w:numPr>
          <w:ilvl w:val="0"/>
          <w:numId w:val="5"/>
        </w:numPr>
        <w:tabs>
          <w:tab w:val="clear" w:pos="709"/>
          <w:tab w:val="left" w:pos="709" w:leader="none"/>
        </w:tabs>
        <w:bidi w:val="0"/>
        <w:ind w:hanging="283" w:start="709"/>
        <w:jc w:val="start"/>
        <w:rPr/>
      </w:pPr>
      <w:r>
        <w:rPr>
          <w:rStyle w:val="Strong"/>
        </w:rPr>
        <w:t>Proposed New Text:</w:t>
      </w:r>
      <w:r>
        <w:rPr/>
        <w:t xml:space="preserve"> Reduce citation clusters to </w:t>
      </w:r>
      <w:r>
        <w:rPr>
          <w:rStyle w:val="Strong"/>
        </w:rPr>
        <w:t>3–5 key references per concept</w:t>
      </w:r>
      <w:r>
        <w:rPr/>
        <w:t xml:space="preserve">. Add a transitional sentence clarifying the theoretical connection: </w:t>
      </w:r>
      <w:r>
        <w:rPr>
          <w:rStyle w:val="Emphasis"/>
        </w:rPr>
        <w:t>"While Cognitive Load Theory optimizes the working memory capacity needed for complex engineering tasks, Self-Determination Theory ensures learners maintain the intrinsic motivation required to engage in these cognitively demanding professional simulations."</w:t>
      </w:r>
      <w:r>
        <w:rPr/>
        <w:t xml:space="preserve"> </w:t>
      </w:r>
    </w:p>
    <w:p>
      <w:pPr>
        <w:pStyle w:val="BodyText"/>
        <w:bidi w:val="0"/>
        <w:jc w:val="start"/>
        <w:rPr/>
      </w:pPr>
      <w:r>
        <w:rPr>
          <w:rStyle w:val="Strong"/>
        </w:rPr>
        <w:t>5. Over-theorization and Lack of Conceptual Model</w:t>
      </w:r>
    </w:p>
    <w:p>
      <w:pPr>
        <w:pStyle w:val="BodyText"/>
        <w:numPr>
          <w:ilvl w:val="0"/>
          <w:numId w:val="6"/>
        </w:numPr>
        <w:tabs>
          <w:tab w:val="clear" w:pos="709"/>
          <w:tab w:val="left" w:pos="709" w:leader="none"/>
        </w:tabs>
        <w:bidi w:val="0"/>
        <w:spacing w:before="0" w:after="0"/>
        <w:ind w:hanging="283" w:start="709"/>
        <w:jc w:val="start"/>
        <w:rPr/>
      </w:pPr>
      <w:r>
        <w:rPr>
          <w:rStyle w:val="Strong"/>
        </w:rPr>
        <w:t>Reviewer Comment:</w:t>
      </w:r>
      <w:r>
        <w:rPr/>
        <w:t xml:space="preserve"> The paper introduces too many concepts without showing how they integrate empirically. Needs a simplified conceptual flow diagram. </w:t>
      </w:r>
    </w:p>
    <w:p>
      <w:pPr>
        <w:pStyle w:val="BodyText"/>
        <w:numPr>
          <w:ilvl w:val="0"/>
          <w:numId w:val="6"/>
        </w:numPr>
        <w:tabs>
          <w:tab w:val="clear" w:pos="709"/>
          <w:tab w:val="left" w:pos="709" w:leader="none"/>
        </w:tabs>
        <w:bidi w:val="0"/>
        <w:spacing w:before="0" w:after="0"/>
        <w:ind w:hanging="283" w:start="709"/>
        <w:jc w:val="start"/>
        <w:rPr/>
      </w:pPr>
      <w:r>
        <w:rPr>
          <w:rStyle w:val="Strong"/>
        </w:rPr>
        <w:t>Affected Original Text:</w:t>
      </w:r>
      <w:r>
        <w:rPr/>
        <w:t xml:space="preserve"> Page 5–8, Lines 166–187 (PUDAL) and Lines 198–207 (PSKVE). Figure 1 (Page 8, Line 299) is highly complex. </w:t>
      </w:r>
    </w:p>
    <w:p>
      <w:pPr>
        <w:pStyle w:val="BodyText"/>
        <w:numPr>
          <w:ilvl w:val="0"/>
          <w:numId w:val="6"/>
        </w:numPr>
        <w:tabs>
          <w:tab w:val="clear" w:pos="709"/>
          <w:tab w:val="left" w:pos="709" w:leader="none"/>
        </w:tabs>
        <w:bidi w:val="0"/>
        <w:spacing w:before="0" w:after="0"/>
        <w:ind w:hanging="283" w:start="709"/>
        <w:jc w:val="start"/>
        <w:rPr/>
      </w:pPr>
      <w:r>
        <w:rPr>
          <w:rStyle w:val="Strong"/>
        </w:rPr>
        <w:t>Proposed New Text:</w:t>
      </w:r>
      <w:r>
        <w:rPr/>
        <w:t xml:space="preserve"> Consolidate the overly detailed PUDAL and PSKVE descriptions. Replace or supplement Figure 1 with a </w:t>
      </w:r>
      <w:r>
        <w:rPr>
          <w:rStyle w:val="Strong"/>
        </w:rPr>
        <w:t>simplified Input-Process-Output flow diagram</w:t>
      </w:r>
      <w:r>
        <w:rPr/>
        <w:t xml:space="preserve">: </w:t>
      </w:r>
    </w:p>
    <w:p>
      <w:pPr>
        <w:pStyle w:val="BodyText"/>
        <w:numPr>
          <w:ilvl w:val="1"/>
          <w:numId w:val="6"/>
        </w:numPr>
        <w:tabs>
          <w:tab w:val="clear" w:pos="709"/>
          <w:tab w:val="left" w:pos="1418" w:leader="none"/>
        </w:tabs>
        <w:bidi w:val="0"/>
        <w:ind w:hanging="283" w:start="1418"/>
        <w:jc w:val="start"/>
        <w:rPr/>
      </w:pPr>
      <w:r>
        <w:rPr>
          <w:rStyle w:val="Emphasis"/>
        </w:rPr>
        <w:t>Input</w:t>
      </w:r>
      <w:r>
        <w:rPr/>
        <w:t xml:space="preserve"> (Learning needs) $\rightarrow$ </w:t>
      </w:r>
      <w:r>
        <w:rPr>
          <w:rStyle w:val="Emphasis"/>
        </w:rPr>
        <w:t>Process</w:t>
      </w:r>
      <w:r>
        <w:rPr/>
        <w:t xml:space="preserve"> (PUDAL Cognitive Engine + PSKVE Value Engine) $\rightarrow$ </w:t>
      </w:r>
      <w:r>
        <w:rPr>
          <w:rStyle w:val="Emphasis"/>
        </w:rPr>
        <w:t>Output</w:t>
      </w:r>
      <w:r>
        <w:rPr/>
        <w:t xml:space="preserve"> (Reduced variance, improved academic scores). </w:t>
      </w:r>
    </w:p>
    <w:p>
      <w:pPr>
        <w:pStyle w:val="BodyText"/>
        <w:bidi w:val="0"/>
        <w:jc w:val="start"/>
        <w:rPr/>
      </w:pPr>
      <w:r>
        <w:rPr>
          <w:rStyle w:val="Strong"/>
        </w:rPr>
        <w:t>6. Operationalization of Variables (Cognitive Load, Motivation)</w:t>
      </w:r>
    </w:p>
    <w:p>
      <w:pPr>
        <w:pStyle w:val="BodyText"/>
        <w:numPr>
          <w:ilvl w:val="0"/>
          <w:numId w:val="7"/>
        </w:numPr>
        <w:tabs>
          <w:tab w:val="clear" w:pos="709"/>
          <w:tab w:val="left" w:pos="709" w:leader="none"/>
        </w:tabs>
        <w:bidi w:val="0"/>
        <w:spacing w:before="0" w:after="0"/>
        <w:ind w:hanging="283" w:start="709"/>
        <w:jc w:val="start"/>
        <w:rPr/>
      </w:pPr>
      <w:r>
        <w:rPr>
          <w:rStyle w:val="Strong"/>
        </w:rPr>
        <w:t>Reviewer Comment:</w:t>
      </w:r>
      <w:r>
        <w:rPr/>
        <w:t xml:space="preserve"> It is unclear how variables like cognitive load were measured; standard instruments like NASA-TLX are missing. </w:t>
      </w:r>
    </w:p>
    <w:p>
      <w:pPr>
        <w:pStyle w:val="BodyText"/>
        <w:numPr>
          <w:ilvl w:val="0"/>
          <w:numId w:val="7"/>
        </w:numPr>
        <w:tabs>
          <w:tab w:val="clear" w:pos="709"/>
          <w:tab w:val="left" w:pos="709" w:leader="none"/>
        </w:tabs>
        <w:bidi w:val="0"/>
        <w:spacing w:before="0" w:after="0"/>
        <w:ind w:hanging="283" w:start="709"/>
        <w:jc w:val="start"/>
        <w:rPr/>
      </w:pPr>
      <w:r>
        <w:rPr>
          <w:rStyle w:val="Strong"/>
        </w:rPr>
        <w:t>Affected Original Text:</w:t>
      </w:r>
      <w:r>
        <w:rPr/>
        <w:t xml:space="preserve"> Page 12, Lines 406–408: </w:t>
      </w:r>
      <w:r>
        <w:rPr>
          <w:rStyle w:val="Emphasis"/>
        </w:rPr>
        <w:t>"Nonetheless, this interpretation is speculative due to the absence of clear measurements for autonomy, competence, relatedness, or cognitive effort (NASA-TLX) (Hart and Staveland, 1988; Paas et al., 2003)..."</w:t>
      </w:r>
      <w:r>
        <w:rPr/>
        <w:t xml:space="preserve">. </w:t>
      </w:r>
    </w:p>
    <w:p>
      <w:pPr>
        <w:pStyle w:val="BodyText"/>
        <w:numPr>
          <w:ilvl w:val="0"/>
          <w:numId w:val="7"/>
        </w:numPr>
        <w:tabs>
          <w:tab w:val="clear" w:pos="709"/>
          <w:tab w:val="left" w:pos="709" w:leader="none"/>
        </w:tabs>
        <w:bidi w:val="0"/>
        <w:ind w:hanging="283" w:start="709"/>
        <w:jc w:val="start"/>
        <w:rPr/>
      </w:pPr>
      <w:r>
        <w:rPr>
          <w:rStyle w:val="Strong"/>
        </w:rPr>
        <w:t>Proposed New Text:</w:t>
      </w:r>
      <w:r>
        <w:rPr/>
        <w:t xml:space="preserve"> Move this explicitly into the Methods section as a defined limitation: </w:t>
      </w:r>
      <w:r>
        <w:rPr>
          <w:rStyle w:val="Emphasis"/>
        </w:rPr>
        <w:t>"This study relies on structured academic activities to infer learning efficiency. A major limitation of this preliminary design is the absence of direct, validated psychological measurements, such as the NASA-TLX for cognitive load or standard SDT scales for intrinsic motivation."</w:t>
      </w:r>
      <w:r>
        <w:rPr/>
        <w:t xml:space="preserve"> </w:t>
      </w:r>
    </w:p>
    <w:p>
      <w:pPr>
        <w:pStyle w:val="BodyText"/>
        <w:bidi w:val="0"/>
        <w:jc w:val="start"/>
        <w:rPr/>
      </w:pPr>
      <w:r>
        <w:rPr>
          <w:rStyle w:val="Strong"/>
        </w:rPr>
        <w:t>7. Methodological Weaknesses (Design, Demographics, Pretests)</w:t>
      </w:r>
    </w:p>
    <w:p>
      <w:pPr>
        <w:pStyle w:val="BodyText"/>
        <w:numPr>
          <w:ilvl w:val="0"/>
          <w:numId w:val="8"/>
        </w:numPr>
        <w:tabs>
          <w:tab w:val="clear" w:pos="709"/>
          <w:tab w:val="left" w:pos="709" w:leader="none"/>
        </w:tabs>
        <w:bidi w:val="0"/>
        <w:spacing w:before="0" w:after="0"/>
        <w:ind w:hanging="283" w:start="709"/>
        <w:jc w:val="start"/>
        <w:rPr/>
      </w:pPr>
      <w:r>
        <w:rPr>
          <w:rStyle w:val="Strong"/>
        </w:rPr>
        <w:t>Reviewer Comment:</w:t>
      </w:r>
      <w:r>
        <w:rPr/>
        <w:t xml:space="preserve"> The study lacks a random design, pretest data, demographic backgrounds, and rubric reliability testing. </w:t>
      </w:r>
    </w:p>
    <w:p>
      <w:pPr>
        <w:pStyle w:val="BodyText"/>
        <w:numPr>
          <w:ilvl w:val="0"/>
          <w:numId w:val="8"/>
        </w:numPr>
        <w:tabs>
          <w:tab w:val="clear" w:pos="709"/>
          <w:tab w:val="left" w:pos="709" w:leader="none"/>
        </w:tabs>
        <w:bidi w:val="0"/>
        <w:spacing w:before="0" w:after="0"/>
        <w:ind w:hanging="283" w:start="709"/>
        <w:jc w:val="start"/>
        <w:rPr/>
      </w:pPr>
      <w:r>
        <w:rPr>
          <w:rStyle w:val="Strong"/>
        </w:rPr>
        <w:t>Affected Original Text:</w:t>
      </w:r>
      <w:r>
        <w:rPr/>
        <w:t xml:space="preserve"> Page 9, Lines 301–318: </w:t>
      </w:r>
      <w:r>
        <w:rPr>
          <w:rStyle w:val="Emphasis"/>
        </w:rPr>
        <w:t>"A preliminary application of the TISE-VALORIZE framework was executed with three cohorts... Structured Academic Activities were used to grade all groups..."</w:t>
      </w:r>
      <w:r>
        <w:rPr/>
        <w:t xml:space="preserve">. </w:t>
      </w:r>
    </w:p>
    <w:p>
      <w:pPr>
        <w:pStyle w:val="BodyText"/>
        <w:numPr>
          <w:ilvl w:val="0"/>
          <w:numId w:val="8"/>
        </w:numPr>
        <w:tabs>
          <w:tab w:val="clear" w:pos="709"/>
          <w:tab w:val="left" w:pos="709" w:leader="none"/>
        </w:tabs>
        <w:bidi w:val="0"/>
        <w:ind w:hanging="283" w:start="709"/>
        <w:jc w:val="start"/>
        <w:rPr/>
      </w:pPr>
      <w:r>
        <w:rPr>
          <w:rStyle w:val="Strong"/>
        </w:rPr>
        <w:t>Proposed New Text:</w:t>
      </w:r>
      <w:r>
        <w:rPr/>
        <w:t xml:space="preserve"> Explicitly state the design type: </w:t>
      </w:r>
      <w:r>
        <w:rPr>
          <w:rStyle w:val="Emphasis"/>
        </w:rPr>
        <w:t xml:space="preserve">"This study utilized a </w:t>
      </w:r>
      <w:r>
        <w:rPr>
          <w:rStyle w:val="Strong"/>
        </w:rPr>
        <w:t>quasi-experimental posttest-only design with non-equivalent groups</w:t>
      </w:r>
      <w:r>
        <w:rPr>
          <w:rStyle w:val="Emphasis"/>
        </w:rPr>
        <w:t>."</w:t>
      </w:r>
      <w:r>
        <w:rPr/>
        <w:t xml:space="preserve"> Add a limitations paragraph: </w:t>
      </w:r>
      <w:r>
        <w:rPr>
          <w:rStyle w:val="Emphasis"/>
        </w:rPr>
        <w:t>"Due to institutional constraints, random assignment was not possible, leading to potential cohort effects across different semesters. Furthermore, demographic data, pretest scores to establish baseline equivalence, and inter-rater reliability metrics (e.g., Cohen’s Kappa) for the grading rubric were not collected."</w:t>
      </w:r>
      <w:r>
        <w:rPr/>
        <w:t xml:space="preserve"> </w:t>
      </w:r>
    </w:p>
    <w:p>
      <w:pPr>
        <w:pStyle w:val="BodyText"/>
        <w:bidi w:val="0"/>
        <w:jc w:val="start"/>
        <w:rPr/>
      </w:pPr>
      <w:r>
        <w:rPr>
          <w:rStyle w:val="Strong"/>
        </w:rPr>
        <w:t>8. Honest Discussion of Effect Size</w:t>
      </w:r>
    </w:p>
    <w:p>
      <w:pPr>
        <w:pStyle w:val="BodyText"/>
        <w:numPr>
          <w:ilvl w:val="0"/>
          <w:numId w:val="9"/>
        </w:numPr>
        <w:tabs>
          <w:tab w:val="clear" w:pos="709"/>
          <w:tab w:val="left" w:pos="709" w:leader="none"/>
        </w:tabs>
        <w:bidi w:val="0"/>
        <w:spacing w:before="0" w:after="0"/>
        <w:ind w:hanging="283" w:start="709"/>
        <w:jc w:val="start"/>
        <w:rPr/>
      </w:pPr>
      <w:r>
        <w:rPr>
          <w:rStyle w:val="Strong"/>
        </w:rPr>
        <w:t>Reviewer Comment:</w:t>
      </w:r>
      <w:r>
        <w:rPr/>
        <w:t xml:space="preserve"> The small effect size (η² = .061) should be discussed more honestly, acknowledging it only accounts for 6.1% of the score variance. </w:t>
      </w:r>
    </w:p>
    <w:p>
      <w:pPr>
        <w:pStyle w:val="BodyText"/>
        <w:numPr>
          <w:ilvl w:val="0"/>
          <w:numId w:val="9"/>
        </w:numPr>
        <w:tabs>
          <w:tab w:val="clear" w:pos="709"/>
          <w:tab w:val="left" w:pos="709" w:leader="none"/>
        </w:tabs>
        <w:bidi w:val="0"/>
        <w:spacing w:before="0" w:after="0"/>
        <w:ind w:hanging="283" w:start="709"/>
        <w:jc w:val="start"/>
        <w:rPr/>
      </w:pPr>
      <w:r>
        <w:rPr>
          <w:rStyle w:val="Strong"/>
        </w:rPr>
        <w:t>Affected Original Text:</w:t>
      </w:r>
      <w:r>
        <w:rPr/>
        <w:t xml:space="preserve"> Page 10, Lines 335–343: </w:t>
      </w:r>
      <w:r>
        <w:rPr>
          <w:rStyle w:val="Emphasis"/>
        </w:rPr>
        <w:t>"This difference was statistically significant (F (2,135) = 4.41, p = .014), however the effect size was only modest (η² = .061). This suggests that the TISE-VALORIZE framework was responsible for around 6% of the rise in results..."</w:t>
      </w:r>
      <w:r>
        <w:rPr/>
        <w:t xml:space="preserve">. </w:t>
      </w:r>
    </w:p>
    <w:p>
      <w:pPr>
        <w:pStyle w:val="BodyText"/>
        <w:numPr>
          <w:ilvl w:val="0"/>
          <w:numId w:val="9"/>
        </w:numPr>
        <w:tabs>
          <w:tab w:val="clear" w:pos="709"/>
          <w:tab w:val="left" w:pos="709" w:leader="none"/>
        </w:tabs>
        <w:bidi w:val="0"/>
        <w:ind w:hanging="283" w:start="709"/>
        <w:jc w:val="start"/>
        <w:rPr/>
      </w:pPr>
      <w:r>
        <w:rPr>
          <w:rStyle w:val="Strong"/>
        </w:rPr>
        <w:t>Proposed New Text:</w:t>
      </w:r>
      <w:r>
        <w:rPr/>
        <w:t xml:space="preserve"> Clarify the practical meaning: </w:t>
      </w:r>
      <w:r>
        <w:rPr>
          <w:rStyle w:val="Emphasis"/>
        </w:rPr>
        <w:t>"While statistically significant, the small effect size (η² = .061) indicates that the framework accounts for only 6.1% of the total variance in academic scores. The remaining 93.9% of variance is attributable to uncontrolled factors such as prior knowledge, baseline technical skills, and external support, highlighting the need for future controlled pretest-posttest studies."</w:t>
      </w:r>
      <w:r>
        <w:rPr/>
        <w:t xml:space="preserve"> </w:t>
      </w:r>
    </w:p>
    <w:p>
      <w:pPr>
        <w:pStyle w:val="BodyText"/>
        <w:bidi w:val="0"/>
        <w:jc w:val="start"/>
        <w:rPr/>
      </w:pPr>
      <w:r>
        <w:rPr>
          <w:rStyle w:val="Strong"/>
        </w:rPr>
        <w:t>9. Causality Claims Without Direct Data</w:t>
      </w:r>
    </w:p>
    <w:p>
      <w:pPr>
        <w:pStyle w:val="BodyText"/>
        <w:numPr>
          <w:ilvl w:val="0"/>
          <w:numId w:val="10"/>
        </w:numPr>
        <w:tabs>
          <w:tab w:val="clear" w:pos="709"/>
          <w:tab w:val="left" w:pos="709" w:leader="none"/>
        </w:tabs>
        <w:bidi w:val="0"/>
        <w:spacing w:before="0" w:after="0"/>
        <w:ind w:hanging="283" w:start="709"/>
        <w:jc w:val="start"/>
        <w:rPr/>
      </w:pPr>
      <w:r>
        <w:rPr>
          <w:rStyle w:val="Strong"/>
        </w:rPr>
        <w:t>Reviewer Comment:</w:t>
      </w:r>
      <w:r>
        <w:rPr/>
        <w:t xml:space="preserve"> Claims that the framework directly boosts intrinsic motivation or lowers cognitive load are not supported by live, direct data. </w:t>
      </w:r>
    </w:p>
    <w:p>
      <w:pPr>
        <w:pStyle w:val="BodyText"/>
        <w:numPr>
          <w:ilvl w:val="0"/>
          <w:numId w:val="10"/>
        </w:numPr>
        <w:tabs>
          <w:tab w:val="clear" w:pos="709"/>
          <w:tab w:val="left" w:pos="709" w:leader="none"/>
        </w:tabs>
        <w:bidi w:val="0"/>
        <w:spacing w:before="0" w:after="0"/>
        <w:ind w:hanging="283" w:start="709"/>
        <w:jc w:val="start"/>
        <w:rPr/>
      </w:pPr>
      <w:r>
        <w:rPr>
          <w:rStyle w:val="Strong"/>
        </w:rPr>
        <w:t>Affected Original Text:</w:t>
      </w:r>
      <w:r>
        <w:rPr/>
        <w:t xml:space="preserve"> Page 11, Lines 388–396: </w:t>
      </w:r>
      <w:r>
        <w:rPr>
          <w:rStyle w:val="Emphasis"/>
        </w:rPr>
        <w:t>"This pattern of results may suggest that the adoption of TISE-VALORIZE... produces more uniform and equitable learning outcomes... may be seen as evidence that TISE-VALORIZE's scaffolding mechanisms consistently alleviated extraneous cognitive loads..."</w:t>
      </w:r>
      <w:r>
        <w:rPr/>
        <w:t xml:space="preserve">. </w:t>
      </w:r>
    </w:p>
    <w:p>
      <w:pPr>
        <w:pStyle w:val="BodyText"/>
        <w:numPr>
          <w:ilvl w:val="0"/>
          <w:numId w:val="10"/>
        </w:numPr>
        <w:tabs>
          <w:tab w:val="clear" w:pos="709"/>
          <w:tab w:val="left" w:pos="709" w:leader="none"/>
        </w:tabs>
        <w:bidi w:val="0"/>
        <w:ind w:hanging="283" w:start="709"/>
        <w:jc w:val="start"/>
        <w:rPr/>
      </w:pPr>
      <w:r>
        <w:rPr>
          <w:rStyle w:val="Strong"/>
        </w:rPr>
        <w:t>Proposed New Text:</w:t>
      </w:r>
      <w:r>
        <w:rPr/>
        <w:t xml:space="preserve"> Soften the language throughout the Results and Discussion: </w:t>
      </w:r>
      <w:r>
        <w:rPr>
          <w:rStyle w:val="Emphasis"/>
        </w:rPr>
        <w:t xml:space="preserve">"The reduction in score variance </w:t>
      </w:r>
      <w:r>
        <w:rPr>
          <w:rStyle w:val="Strong"/>
        </w:rPr>
        <w:t>is consistent with the theoretical expectations</w:t>
      </w:r>
      <w:r>
        <w:rPr>
          <w:rStyle w:val="Emphasis"/>
        </w:rPr>
        <w:t xml:space="preserve"> of CLT regarding the alleviation of extraneous cognitive load. However, without direct psychometric data, </w:t>
      </w:r>
      <w:r>
        <w:rPr>
          <w:rStyle w:val="Strong"/>
        </w:rPr>
        <w:t>we cannot definitively claim</w:t>
      </w:r>
      <w:r>
        <w:rPr>
          <w:rStyle w:val="Emphasis"/>
        </w:rPr>
        <w:t xml:space="preserve"> that the framework altered the students' internal cognitive or motivational states; these findings provide preliminary behavioral evidence that warrants direct psychological testing."</w:t>
      </w:r>
      <w:r>
        <w:rPr/>
        <w:t xml:space="preserve"> </w:t>
      </w:r>
    </w:p>
    <w:p>
      <w:pPr>
        <w:pStyle w:val="BodyText"/>
        <w:bidi w:val="0"/>
        <w:jc w:val="start"/>
        <w:rPr/>
      </w:pPr>
      <w:r>
        <w:rPr>
          <w:rStyle w:val="Strong"/>
        </w:rPr>
        <w:t>10. Discussion Structure and Separate Limitations</w:t>
      </w:r>
    </w:p>
    <w:p>
      <w:pPr>
        <w:pStyle w:val="BodyText"/>
        <w:numPr>
          <w:ilvl w:val="0"/>
          <w:numId w:val="11"/>
        </w:numPr>
        <w:tabs>
          <w:tab w:val="clear" w:pos="709"/>
          <w:tab w:val="left" w:pos="709" w:leader="none"/>
        </w:tabs>
        <w:bidi w:val="0"/>
        <w:spacing w:before="0" w:after="0"/>
        <w:ind w:hanging="283" w:start="709"/>
        <w:jc w:val="start"/>
        <w:rPr/>
      </w:pPr>
      <w:r>
        <w:rPr>
          <w:rStyle w:val="Strong"/>
        </w:rPr>
        <w:t>Reviewer Comment:</w:t>
      </w:r>
      <w:r>
        <w:rPr/>
        <w:t xml:space="preserve"> Limitations are currently mixed with interpretation, and there is no discussion of unsupported hypotheses. The discussion needs distinct sub-sections. </w:t>
      </w:r>
    </w:p>
    <w:p>
      <w:pPr>
        <w:pStyle w:val="BodyText"/>
        <w:numPr>
          <w:ilvl w:val="0"/>
          <w:numId w:val="11"/>
        </w:numPr>
        <w:tabs>
          <w:tab w:val="clear" w:pos="709"/>
          <w:tab w:val="left" w:pos="709" w:leader="none"/>
        </w:tabs>
        <w:bidi w:val="0"/>
        <w:spacing w:before="0" w:after="0"/>
        <w:ind w:hanging="283" w:start="709"/>
        <w:jc w:val="start"/>
        <w:rPr/>
      </w:pPr>
      <w:r>
        <w:rPr>
          <w:rStyle w:val="Strong"/>
        </w:rPr>
        <w:t>Affected Original Text:</w:t>
      </w:r>
      <w:r>
        <w:rPr/>
        <w:t xml:space="preserve"> Page 12, Section 5.3 (Lines 397–432) merges "Interpretation and Limitations". </w:t>
      </w:r>
    </w:p>
    <w:p>
      <w:pPr>
        <w:pStyle w:val="BodyText"/>
        <w:numPr>
          <w:ilvl w:val="0"/>
          <w:numId w:val="11"/>
        </w:numPr>
        <w:tabs>
          <w:tab w:val="clear" w:pos="709"/>
          <w:tab w:val="left" w:pos="709" w:leader="none"/>
        </w:tabs>
        <w:bidi w:val="0"/>
        <w:spacing w:before="0" w:after="0"/>
        <w:ind w:hanging="283" w:start="709"/>
        <w:jc w:val="start"/>
        <w:rPr/>
      </w:pPr>
      <w:r>
        <w:rPr>
          <w:rStyle w:val="Strong"/>
        </w:rPr>
        <w:t>Proposed New Text:</w:t>
      </w:r>
      <w:r>
        <w:rPr/>
        <w:t xml:space="preserve"> Restructure the end of the paper into: </w:t>
      </w:r>
    </w:p>
    <w:p>
      <w:pPr>
        <w:pStyle w:val="BodyText"/>
        <w:numPr>
          <w:ilvl w:val="1"/>
          <w:numId w:val="11"/>
        </w:numPr>
        <w:tabs>
          <w:tab w:val="clear" w:pos="709"/>
          <w:tab w:val="left" w:pos="1418" w:leader="none"/>
        </w:tabs>
        <w:bidi w:val="0"/>
        <w:spacing w:before="0" w:after="0"/>
        <w:ind w:hanging="283" w:start="1418"/>
        <w:jc w:val="start"/>
        <w:rPr/>
      </w:pPr>
      <w:r>
        <w:rPr>
          <w:rStyle w:val="Strong"/>
        </w:rPr>
        <w:t>6.1 Interpretation of Findings</w:t>
      </w:r>
      <w:r>
        <w:rPr/>
        <w:t xml:space="preserve"> </w:t>
      </w:r>
    </w:p>
    <w:p>
      <w:pPr>
        <w:pStyle w:val="BodyText"/>
        <w:numPr>
          <w:ilvl w:val="1"/>
          <w:numId w:val="11"/>
        </w:numPr>
        <w:tabs>
          <w:tab w:val="clear" w:pos="709"/>
          <w:tab w:val="left" w:pos="1418" w:leader="none"/>
        </w:tabs>
        <w:bidi w:val="0"/>
        <w:spacing w:before="0" w:after="0"/>
        <w:ind w:hanging="283" w:start="1418"/>
        <w:jc w:val="start"/>
        <w:rPr/>
      </w:pPr>
      <w:r>
        <w:rPr>
          <w:rStyle w:val="Strong"/>
        </w:rPr>
        <w:t>6.2 Unconfirmed Hypotheses:</w:t>
      </w:r>
      <w:r>
        <w:rPr/>
        <w:t xml:space="preserve"> </w:t>
      </w:r>
      <w:r>
        <w:rPr>
          <w:rStyle w:val="Emphasis"/>
        </w:rPr>
        <w:t>"Hypotheses regarding direct increases in intrinsic motivation (H2) and professional identity formation (H3) could not be systematically confirmed due to a reliance on academic scores rather than direct psychometric evaluation."</w:t>
      </w:r>
      <w:r>
        <w:rPr/>
        <w:t xml:space="preserve"> </w:t>
      </w:r>
    </w:p>
    <w:p>
      <w:pPr>
        <w:pStyle w:val="BodyText"/>
        <w:numPr>
          <w:ilvl w:val="1"/>
          <w:numId w:val="11"/>
        </w:numPr>
        <w:tabs>
          <w:tab w:val="clear" w:pos="709"/>
          <w:tab w:val="left" w:pos="1418" w:leader="none"/>
        </w:tabs>
        <w:bidi w:val="0"/>
        <w:spacing w:before="0" w:after="0"/>
        <w:ind w:hanging="283" w:start="1418"/>
        <w:jc w:val="start"/>
        <w:rPr/>
      </w:pPr>
      <w:r>
        <w:rPr>
          <w:rStyle w:val="Strong"/>
        </w:rPr>
        <w:t>6.3 Limitations</w:t>
      </w:r>
      <w:r>
        <w:rPr/>
        <w:t xml:space="preserve"> (Move lines 409-432 here) </w:t>
      </w:r>
    </w:p>
    <w:p>
      <w:pPr>
        <w:pStyle w:val="BodyText"/>
        <w:numPr>
          <w:ilvl w:val="1"/>
          <w:numId w:val="11"/>
        </w:numPr>
        <w:tabs>
          <w:tab w:val="clear" w:pos="709"/>
          <w:tab w:val="left" w:pos="1418" w:leader="none"/>
        </w:tabs>
        <w:bidi w:val="0"/>
        <w:ind w:hanging="283" w:start="1418"/>
        <w:jc w:val="start"/>
        <w:rPr/>
      </w:pPr>
      <w:r>
        <w:rPr>
          <w:rStyle w:val="Strong"/>
        </w:rPr>
        <w:t>6.4 Future Directions</w:t>
      </w:r>
      <w:r>
        <w:rPr/>
        <w:t xml:space="preserve"> </w:t>
      </w:r>
    </w:p>
    <w:p>
      <w:pPr>
        <w:pStyle w:val="BodyText"/>
        <w:bidi w:val="0"/>
        <w:jc w:val="start"/>
        <w:rPr/>
      </w:pPr>
      <w:r>
        <w:rPr>
          <w:rStyle w:val="Strong"/>
        </w:rPr>
        <w:t>11. Condensing the Conclusion</w:t>
      </w:r>
    </w:p>
    <w:p>
      <w:pPr>
        <w:pStyle w:val="BodyText"/>
        <w:numPr>
          <w:ilvl w:val="0"/>
          <w:numId w:val="12"/>
        </w:numPr>
        <w:tabs>
          <w:tab w:val="clear" w:pos="709"/>
          <w:tab w:val="left" w:pos="709" w:leader="none"/>
        </w:tabs>
        <w:bidi w:val="0"/>
        <w:spacing w:before="0" w:after="0"/>
        <w:ind w:hanging="283" w:start="709"/>
        <w:jc w:val="start"/>
        <w:rPr/>
      </w:pPr>
      <w:r>
        <w:rPr>
          <w:rStyle w:val="Strong"/>
        </w:rPr>
        <w:t>Reviewer Comment:</w:t>
      </w:r>
      <w:r>
        <w:rPr/>
        <w:t xml:space="preserve"> The conclusion is too long and repetitive, and must be condensed to 3-4 sentences detailing the main contribution, findings, implications, and future agenda. </w:t>
      </w:r>
    </w:p>
    <w:p>
      <w:pPr>
        <w:pStyle w:val="BodyText"/>
        <w:numPr>
          <w:ilvl w:val="0"/>
          <w:numId w:val="12"/>
        </w:numPr>
        <w:tabs>
          <w:tab w:val="clear" w:pos="709"/>
          <w:tab w:val="left" w:pos="709" w:leader="none"/>
        </w:tabs>
        <w:bidi w:val="0"/>
        <w:spacing w:before="0" w:after="0"/>
        <w:ind w:hanging="283" w:start="709"/>
        <w:jc w:val="start"/>
        <w:rPr/>
      </w:pPr>
      <w:r>
        <w:rPr>
          <w:rStyle w:val="Strong"/>
        </w:rPr>
        <w:t>Affected Original Text:</w:t>
      </w:r>
      <w:r>
        <w:rPr/>
        <w:t xml:space="preserve"> Page 13–14, Lines 477–499: </w:t>
      </w:r>
      <w:r>
        <w:rPr>
          <w:rStyle w:val="Emphasis"/>
        </w:rPr>
        <w:t>"Knowledge mapping, gamification, and AI-based learning are all well-known ideas, but TISE-VALORIZE is distinct... Institutions that decide to make this adjustment may gain a lot..."</w:t>
      </w:r>
      <w:r>
        <w:rPr/>
        <w:t xml:space="preserve">. </w:t>
      </w:r>
    </w:p>
    <w:p>
      <w:pPr>
        <w:pStyle w:val="BodyText"/>
        <w:numPr>
          <w:ilvl w:val="0"/>
          <w:numId w:val="12"/>
        </w:numPr>
        <w:tabs>
          <w:tab w:val="clear" w:pos="709"/>
          <w:tab w:val="left" w:pos="709" w:leader="none"/>
        </w:tabs>
        <w:bidi w:val="0"/>
        <w:ind w:hanging="283" w:start="709"/>
        <w:jc w:val="start"/>
        <w:rPr/>
      </w:pPr>
      <w:r>
        <w:rPr>
          <w:rStyle w:val="Strong"/>
        </w:rPr>
        <w:t>Proposed New Text:</w:t>
      </w:r>
      <w:r>
        <w:rPr/>
        <w:t xml:space="preserve"> </w:t>
      </w:r>
      <w:r>
        <w:rPr>
          <w:rStyle w:val="Emphasis"/>
        </w:rPr>
        <w:t>"This study contributes the TISE-VALORIZE framework, merging cognitive science and motivation theory to transition engineering education from mere content mastery to professional identity formation. Preliminary findings demonstrate that this framework significantly improved mean academic scores and reduced score variance by 84% compared to traditional instruction, suggesting highly equitable learning outcomes. Practically, this approach allows educators to utilize AI for routine tasks while mentoring students in a simulated professional knowledge marketplace. Future research must conduct multi-institutional randomized controlled trials utilizing validated psychometric instruments to directly measure the framework's impact on cognitive load and intrinsic motivation."</w:t>
      </w:r>
      <w:r>
        <w:rPr/>
        <w:t xml:space="preserve"> </w:t>
      </w:r>
    </w:p>
    <w:p>
      <w:pPr>
        <w:pStyle w:val="BodyText"/>
        <w:bidi w:val="0"/>
        <w:jc w:val="start"/>
        <w:rPr/>
      </w:pPr>
      <w:r>
        <w:rPr>
          <w:rStyle w:val="Strong"/>
        </w:rPr>
        <w:t>12. Reference Formatting and Quality</w:t>
      </w:r>
    </w:p>
    <w:p>
      <w:pPr>
        <w:pStyle w:val="BodyText"/>
        <w:numPr>
          <w:ilvl w:val="0"/>
          <w:numId w:val="13"/>
        </w:numPr>
        <w:tabs>
          <w:tab w:val="clear" w:pos="709"/>
          <w:tab w:val="left" w:pos="709" w:leader="none"/>
        </w:tabs>
        <w:bidi w:val="0"/>
        <w:spacing w:before="0" w:after="0"/>
        <w:ind w:hanging="283" w:start="709"/>
        <w:jc w:val="start"/>
        <w:rPr/>
      </w:pPr>
      <w:r>
        <w:rPr>
          <w:rStyle w:val="Strong"/>
        </w:rPr>
        <w:t>Reviewer Comment:</w:t>
      </w:r>
      <w:r>
        <w:rPr/>
        <w:t xml:space="preserve"> Formatting is inconsistent, in-text citations are missing (e.g., Ryan &amp; Deci, 2000), and there are too many proceedings instead of high-quality journals. </w:t>
      </w:r>
    </w:p>
    <w:p>
      <w:pPr>
        <w:pStyle w:val="BodyText"/>
        <w:numPr>
          <w:ilvl w:val="0"/>
          <w:numId w:val="13"/>
        </w:numPr>
        <w:tabs>
          <w:tab w:val="clear" w:pos="709"/>
          <w:tab w:val="left" w:pos="709" w:leader="none"/>
        </w:tabs>
        <w:bidi w:val="0"/>
        <w:spacing w:before="0" w:after="0"/>
        <w:ind w:hanging="283" w:start="709"/>
        <w:jc w:val="start"/>
        <w:rPr/>
      </w:pPr>
      <w:r>
        <w:rPr>
          <w:rStyle w:val="Strong"/>
        </w:rPr>
        <w:t>Affected Original Text:</w:t>
      </w:r>
      <w:r>
        <w:rPr/>
        <w:t xml:space="preserve"> Pages 15–18, Lines 542–675. </w:t>
      </w:r>
    </w:p>
    <w:p>
      <w:pPr>
        <w:pStyle w:val="BodyText"/>
        <w:numPr>
          <w:ilvl w:val="0"/>
          <w:numId w:val="13"/>
        </w:numPr>
        <w:tabs>
          <w:tab w:val="clear" w:pos="709"/>
          <w:tab w:val="left" w:pos="709" w:leader="none"/>
        </w:tabs>
        <w:bidi w:val="0"/>
        <w:ind w:hanging="283" w:start="709"/>
        <w:jc w:val="start"/>
        <w:rPr/>
      </w:pPr>
      <w:r>
        <w:rPr>
          <w:rStyle w:val="Strong"/>
        </w:rPr>
        <w:t>Proposed New Text:</w:t>
      </w:r>
      <w:r>
        <w:rPr/>
        <w:t xml:space="preserve"> Use a reference manager to standardize formatting. Ensure all bibliography entries appear in the text. Replace secondary sources or conference proceedings (e.g., Johan, Langi, and Imbar, 2025) with peer-reviewed Q1/Q2 journal articles where possible. </w:t>
      </w:r>
    </w:p>
    <w:p>
      <w:pPr>
        <w:pStyle w:val="BodyText"/>
        <w:bidi w:val="0"/>
        <w:jc w:val="start"/>
        <w:rPr/>
      </w:pPr>
      <w:r>
        <w:rPr>
          <w:rStyle w:val="Strong"/>
        </w:rPr>
        <w:t>13. Ethics and Generative AI Disclosures</w:t>
      </w:r>
    </w:p>
    <w:p>
      <w:pPr>
        <w:pStyle w:val="BodyText"/>
        <w:numPr>
          <w:ilvl w:val="0"/>
          <w:numId w:val="14"/>
        </w:numPr>
        <w:tabs>
          <w:tab w:val="clear" w:pos="709"/>
          <w:tab w:val="left" w:pos="709" w:leader="none"/>
        </w:tabs>
        <w:bidi w:val="0"/>
        <w:spacing w:before="0" w:after="0"/>
        <w:ind w:hanging="283" w:start="709"/>
        <w:jc w:val="start"/>
        <w:rPr/>
      </w:pPr>
      <w:r>
        <w:rPr>
          <w:rStyle w:val="Strong"/>
        </w:rPr>
        <w:t>Reviewer Comment:</w:t>
      </w:r>
      <w:r>
        <w:rPr/>
        <w:t xml:space="preserve"> The ethical exemption needs institutional verification, and the use of Generative AI for data analysis or substantive writing must be transparently declared. </w:t>
      </w:r>
    </w:p>
    <w:p>
      <w:pPr>
        <w:pStyle w:val="BodyText"/>
        <w:numPr>
          <w:ilvl w:val="0"/>
          <w:numId w:val="14"/>
        </w:numPr>
        <w:tabs>
          <w:tab w:val="clear" w:pos="709"/>
          <w:tab w:val="left" w:pos="709" w:leader="none"/>
        </w:tabs>
        <w:bidi w:val="0"/>
        <w:spacing w:before="0" w:after="0"/>
        <w:ind w:hanging="283" w:start="709"/>
        <w:jc w:val="start"/>
        <w:rPr/>
      </w:pPr>
      <w:r>
        <w:rPr>
          <w:rStyle w:val="Strong"/>
        </w:rPr>
        <w:t>Affected Original Text:</w:t>
      </w:r>
      <w:r>
        <w:rPr/>
        <w:t xml:space="preserve"> Page 14, Lines 500–520 (Currently missing explicit sections for Ethics and AI disclosure). </w:t>
      </w:r>
    </w:p>
    <w:p>
      <w:pPr>
        <w:pStyle w:val="BodyText"/>
        <w:numPr>
          <w:ilvl w:val="0"/>
          <w:numId w:val="14"/>
        </w:numPr>
        <w:tabs>
          <w:tab w:val="clear" w:pos="709"/>
          <w:tab w:val="left" w:pos="709" w:leader="none"/>
        </w:tabs>
        <w:bidi w:val="0"/>
        <w:spacing w:before="0" w:after="0"/>
        <w:ind w:hanging="283" w:start="709"/>
        <w:jc w:val="start"/>
        <w:rPr/>
      </w:pPr>
      <w:r>
        <w:rPr>
          <w:rStyle w:val="Strong"/>
        </w:rPr>
        <w:t>Proposed New Text:</w:t>
      </w:r>
      <w:r>
        <w:rPr/>
        <w:t xml:space="preserve"> Add standard declarations: </w:t>
      </w:r>
    </w:p>
    <w:p>
      <w:pPr>
        <w:pStyle w:val="BodyText"/>
        <w:numPr>
          <w:ilvl w:val="1"/>
          <w:numId w:val="14"/>
        </w:numPr>
        <w:tabs>
          <w:tab w:val="clear" w:pos="709"/>
          <w:tab w:val="left" w:pos="1418" w:leader="none"/>
        </w:tabs>
        <w:bidi w:val="0"/>
        <w:spacing w:before="0" w:after="0"/>
        <w:ind w:hanging="283" w:start="1418"/>
        <w:jc w:val="start"/>
        <w:rPr/>
      </w:pPr>
      <w:r>
        <w:rPr>
          <w:rStyle w:val="Emphasis"/>
        </w:rPr>
        <w:t>"</w:t>
      </w:r>
      <w:r>
        <w:rPr>
          <w:rStyle w:val="Strong"/>
        </w:rPr>
        <w:t>Ethical Declarations:</w:t>
      </w:r>
      <w:r>
        <w:rPr>
          <w:rStyle w:val="Emphasis"/>
        </w:rPr>
        <w:t xml:space="preserve"> This study utilized anonymized, retrospective academic scores. In accordance with [Institution Name] policy, formal ethical approval was exempted for this retrospective educational analysis."</w:t>
      </w:r>
      <w:r>
        <w:rPr/>
        <w:t xml:space="preserve"> </w:t>
      </w:r>
    </w:p>
    <w:p>
      <w:pPr>
        <w:pStyle w:val="BodyText"/>
        <w:numPr>
          <w:ilvl w:val="1"/>
          <w:numId w:val="14"/>
        </w:numPr>
        <w:tabs>
          <w:tab w:val="clear" w:pos="709"/>
          <w:tab w:val="left" w:pos="1418" w:leader="none"/>
        </w:tabs>
        <w:bidi w:val="0"/>
        <w:ind w:hanging="283" w:start="1418"/>
        <w:jc w:val="start"/>
        <w:rPr/>
      </w:pPr>
      <w:r>
        <w:rPr>
          <w:rStyle w:val="Emphasis"/>
        </w:rPr>
        <w:t>"</w:t>
      </w:r>
      <w:r>
        <w:rPr>
          <w:rStyle w:val="Strong"/>
        </w:rPr>
        <w:t>Generative AI Disclosure:</w:t>
      </w:r>
      <w:r>
        <w:rPr>
          <w:rStyle w:val="Emphasis"/>
        </w:rPr>
        <w:t xml:space="preserve"> Generative AI tools (e.g., ChatGPT, Grammarly) were used exclusively for language editing and readability improvements. No AI was used for data analysis or substantive content generation."</w:t>
      </w:r>
      <w:r>
        <w:rPr/>
        <w:t xml:space="preserve"> </w:t>
      </w:r>
    </w:p>
    <w:p>
      <w:pPr>
        <w:pStyle w:val="BodyText"/>
        <w:bidi w:val="0"/>
        <w:jc w:val="start"/>
        <w:rPr/>
      </w:pPr>
      <w:r>
        <w:rPr>
          <w:rStyle w:val="Strong"/>
        </w:rPr>
        <w:t>14. Figures and Tables Enhancements</w:t>
      </w:r>
    </w:p>
    <w:p>
      <w:pPr>
        <w:pStyle w:val="BodyText"/>
        <w:numPr>
          <w:ilvl w:val="0"/>
          <w:numId w:val="15"/>
        </w:numPr>
        <w:tabs>
          <w:tab w:val="clear" w:pos="709"/>
          <w:tab w:val="left" w:pos="709" w:leader="none"/>
        </w:tabs>
        <w:bidi w:val="0"/>
        <w:spacing w:before="0" w:after="0"/>
        <w:ind w:hanging="283" w:start="709"/>
        <w:jc w:val="start"/>
        <w:rPr/>
      </w:pPr>
      <w:r>
        <w:rPr>
          <w:rStyle w:val="Strong"/>
        </w:rPr>
        <w:t>Reviewer Comment:</w:t>
      </w:r>
      <w:r>
        <w:rPr/>
        <w:t xml:space="preserve"> Figure 2 needs an explicit Y-axis. Tables 3 and 4 need explanatory footnotes. </w:t>
      </w:r>
    </w:p>
    <w:p>
      <w:pPr>
        <w:pStyle w:val="BodyText"/>
        <w:numPr>
          <w:ilvl w:val="0"/>
          <w:numId w:val="15"/>
        </w:numPr>
        <w:tabs>
          <w:tab w:val="clear" w:pos="709"/>
          <w:tab w:val="left" w:pos="709" w:leader="none"/>
        </w:tabs>
        <w:bidi w:val="0"/>
        <w:spacing w:before="0" w:after="0"/>
        <w:ind w:hanging="283" w:start="709"/>
        <w:jc w:val="start"/>
        <w:rPr/>
      </w:pPr>
      <w:r>
        <w:rPr>
          <w:rStyle w:val="Strong"/>
        </w:rPr>
        <w:t>Affected Original Text:</w:t>
      </w:r>
      <w:r>
        <w:rPr/>
        <w:t xml:space="preserve"> Page 10, Table 3; Page 11, Table 4; Page 11, Figure 2. </w:t>
      </w:r>
    </w:p>
    <w:p>
      <w:pPr>
        <w:pStyle w:val="BodyText"/>
        <w:numPr>
          <w:ilvl w:val="0"/>
          <w:numId w:val="15"/>
        </w:numPr>
        <w:tabs>
          <w:tab w:val="clear" w:pos="709"/>
          <w:tab w:val="left" w:pos="709" w:leader="none"/>
        </w:tabs>
        <w:bidi w:val="0"/>
        <w:spacing w:before="0" w:after="0"/>
        <w:ind w:hanging="283" w:start="709"/>
        <w:jc w:val="start"/>
        <w:rPr/>
      </w:pPr>
      <w:r>
        <w:rPr>
          <w:rStyle w:val="Strong"/>
        </w:rPr>
        <w:t>Proposed New Text:</w:t>
      </w:r>
      <w:r>
        <w:rPr/>
        <w:t xml:space="preserve"> </w:t>
      </w:r>
    </w:p>
    <w:p>
      <w:pPr>
        <w:pStyle w:val="BodyText"/>
        <w:numPr>
          <w:ilvl w:val="1"/>
          <w:numId w:val="15"/>
        </w:numPr>
        <w:tabs>
          <w:tab w:val="clear" w:pos="709"/>
          <w:tab w:val="left" w:pos="1418" w:leader="none"/>
        </w:tabs>
        <w:bidi w:val="0"/>
        <w:spacing w:before="0" w:after="0"/>
        <w:ind w:hanging="283" w:start="1418"/>
        <w:jc w:val="start"/>
        <w:rPr/>
      </w:pPr>
      <w:r>
        <w:rPr/>
        <w:t xml:space="preserve">Add a vertical label to Figure 2 reading: </w:t>
      </w:r>
      <w:r>
        <w:rPr>
          <w:rStyle w:val="Strong"/>
        </w:rPr>
        <w:t>"Structured Academic Activities Score (0-100)"</w:t>
      </w:r>
      <w:r>
        <w:rPr/>
        <w:t xml:space="preserve">. </w:t>
      </w:r>
    </w:p>
    <w:p>
      <w:pPr>
        <w:pStyle w:val="BodyText"/>
        <w:numPr>
          <w:ilvl w:val="1"/>
          <w:numId w:val="15"/>
        </w:numPr>
        <w:tabs>
          <w:tab w:val="clear" w:pos="709"/>
          <w:tab w:val="left" w:pos="1418" w:leader="none"/>
        </w:tabs>
        <w:bidi w:val="0"/>
        <w:ind w:hanging="283" w:start="1418"/>
        <w:jc w:val="start"/>
        <w:rPr/>
      </w:pPr>
      <w:r>
        <w:rPr/>
        <w:t xml:space="preserve">Combine Tables 3 and 4 or ensure comprehensive footnotes are added to Table 4 defining standard ANOVA terms: </w:t>
      </w:r>
      <w:r>
        <w:rPr>
          <w:rStyle w:val="Emphasis"/>
        </w:rPr>
        <w:t>"Note: SS = Sum of Squares, df = Degrees of Freedom, MS = Mean Square."</w:t>
      </w:r>
      <w:r>
        <w:rPr/>
        <w:t xml:space="preserve"> Ensure all images are re-exported as SVG/EMF vector graphics.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D"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D"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6</Pages>
  <Words>2442</Words>
  <Characters>15053</Characters>
  <CharactersWithSpaces>17376</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2026-03-30T18:55:18Z</dcterms:created>
  <dc:creator/>
  <dc:description/>
  <dc:language>en-ID</dc:language>
  <cp:lastModifiedBy/>
  <dcterms:modified xsi:type="dcterms:W3CDTF">2026-03-30T19:18:19Z</dcterms:modified>
  <cp:revision>1</cp:revision>
  <dc:subject/>
  <dc:title/>
</cp:coreProperties>
</file>