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Reviewer Response Strategy and Draft Reply Tables</w:t>
      </w:r>
    </w:p>
    <w:p>
      <w:pPr>
        <w:pStyle w:val="Normal"/>
        <w:jc w:val="center"/>
        <w:rPr/>
      </w:pPr>
      <w:r>
        <w:rPr>
          <w:b/>
          <w:sz w:val="20"/>
        </w:rPr>
        <w:t>Manuscript: “Orchestrating Value Co-Creation in Digital Education Using the TISE-VALORIZE Framework: From Knowing to Becoming”</w:t>
      </w:r>
    </w:p>
    <w:p>
      <w:pPr>
        <w:pStyle w:val="Small"/>
        <w:jc w:val="center"/>
        <w:rPr/>
      </w:pPr>
      <w:r>
        <w:rPr/>
        <w:t>Prepared from the submitted manuscript and the two reviewer reports</w:t>
      </w:r>
    </w:p>
    <w:tbl>
      <w:tblPr>
        <w:tblW w:w="10426" w:type="dxa"/>
        <w:jc w:val="center"/>
        <w:tblInd w:w="0" w:type="dxa"/>
        <w:tblLayout w:type="fixed"/>
        <w:tblCellMar>
          <w:top w:w="100" w:type="dxa"/>
          <w:start w:w="100" w:type="dxa"/>
          <w:bottom w:w="100" w:type="dxa"/>
          <w:end w:w="100" w:type="dxa"/>
        </w:tblCellMar>
        <w:tblLook w:firstRow="1" w:noVBand="1" w:lastRow="0" w:firstColumn="1" w:lastColumn="0" w:noHBand="0" w:val="04a0"/>
      </w:tblPr>
      <w:tblGrid>
        <w:gridCol w:w="10426"/>
      </w:tblGrid>
      <w:tr>
        <w:trPr/>
        <w:tc>
          <w:tcPr>
            <w:tcW w:w="10426" w:type="dxa"/>
            <w:tcBorders/>
            <w:shd w:fill="EAF2F8" w:val="clear"/>
          </w:tcPr>
          <w:p>
            <w:pPr>
              <w:pStyle w:val="Normal"/>
              <w:widowControl/>
              <w:bidi w:val="0"/>
              <w:spacing w:lineRule="auto" w:line="276" w:before="0" w:after="200"/>
              <w:jc w:val="start"/>
              <w:rPr/>
            </w:pPr>
            <w:r>
              <w:rPr>
                <w:b/>
              </w:rPr>
              <w:t xml:space="preserve">Publication chance after revision: Moderate to good (about 60–70%). </w:t>
            </w:r>
            <w:r>
              <w:rPr/>
              <w:t>The review outcome is a true major revision, not a rejection. Reviewer 1 is broadly supportive and mainly asks for stronger validation; Reviewer 2 is more demanding but still explicitly recommends major revision rather than rejection. The manuscript’s main risk is not lack of relevance, but over-claiming beyond what the current empirical design actually measures.</w:t>
            </w:r>
          </w:p>
        </w:tc>
      </w:tr>
    </w:tbl>
    <w:p>
      <w:pPr>
        <w:pStyle w:val="Normal"/>
        <w:rPr/>
      </w:pPr>
      <w:r>
        <w:rPr/>
      </w:r>
    </w:p>
    <w:p>
      <w:pPr>
        <w:pStyle w:val="Heading1"/>
        <w:rPr/>
      </w:pPr>
      <w:r>
        <w:rPr/>
        <w:t>Most important actions before resubmission</w:t>
      </w:r>
    </w:p>
    <w:p>
      <w:pPr>
        <w:pStyle w:val="Normal"/>
        <w:spacing w:before="0" w:after="40"/>
        <w:ind w:start="227"/>
        <w:rPr/>
      </w:pPr>
      <w:r>
        <w:rPr/>
        <w:t xml:space="preserve">• </w:t>
      </w:r>
      <w:r>
        <w:rPr/>
        <w:t>Reframe the study explicitly as a quasi-experimental, posttest-only comparison of non-equivalent cohorts.</w:t>
      </w:r>
    </w:p>
    <w:p>
      <w:pPr>
        <w:pStyle w:val="Normal"/>
        <w:spacing w:before="0" w:after="40"/>
        <w:ind w:start="227"/>
        <w:rPr/>
      </w:pPr>
      <w:r>
        <w:rPr/>
        <w:t xml:space="preserve">• </w:t>
      </w:r>
      <w:r>
        <w:rPr/>
        <w:t>Narrow the empirical claims: current evidence supports differences in structured academic activity performance and score dispersion, not direct proof of intrinsic motivation, cognitive load reduction, or professional identity growth.</w:t>
      </w:r>
    </w:p>
    <w:p>
      <w:pPr>
        <w:pStyle w:val="Normal"/>
        <w:spacing w:before="0" w:after="40"/>
        <w:ind w:start="227"/>
        <w:rPr/>
      </w:pPr>
      <w:r>
        <w:rPr/>
        <w:t xml:space="preserve">• </w:t>
      </w:r>
      <w:r>
        <w:rPr/>
        <w:t>Revise the abstract, introduction, discussion, and conclusion to use cautious language such as “may suggest,” “is consistent with,” and “preliminary evidence.”</w:t>
      </w:r>
    </w:p>
    <w:p>
      <w:pPr>
        <w:pStyle w:val="Normal"/>
        <w:spacing w:before="0" w:after="40"/>
        <w:ind w:start="227"/>
        <w:rPr/>
      </w:pPr>
      <w:r>
        <w:rPr/>
        <w:t xml:space="preserve">• </w:t>
      </w:r>
      <w:r>
        <w:rPr/>
        <w:t>Add a concise conceptual diagram linking input (TISE-VALORIZE design features), process (PUDAL/PSKVE/knowledge marketplace), and measured output (artifact-quality/performance outcomes).</w:t>
      </w:r>
    </w:p>
    <w:p>
      <w:pPr>
        <w:pStyle w:val="Normal"/>
        <w:spacing w:before="0" w:after="40"/>
        <w:ind w:start="227"/>
        <w:rPr/>
      </w:pPr>
      <w:r>
        <w:rPr/>
        <w:t xml:space="preserve">• </w:t>
      </w:r>
      <w:r>
        <w:rPr/>
        <w:t>Add participant/context details and rubric reliability if available; if unavailable, state this as a limitation.</w:t>
      </w:r>
    </w:p>
    <w:p>
      <w:pPr>
        <w:pStyle w:val="Normal"/>
        <w:spacing w:before="0" w:after="40"/>
        <w:ind w:start="227"/>
        <w:rPr/>
      </w:pPr>
      <w:r>
        <w:rPr/>
        <w:t xml:space="preserve">• </w:t>
      </w:r>
      <w:r>
        <w:rPr/>
        <w:t>Fix internal statistical inconsistencies, especially the conflicting Experiment-versus-Control 1 p-values and significance labels in Table 5 / surrounding text.</w:t>
      </w:r>
    </w:p>
    <w:p>
      <w:pPr>
        <w:pStyle w:val="Heading1"/>
        <w:rPr/>
      </w:pPr>
      <w:r>
        <w:rPr/>
        <w:t>Recommended tone in the response letter</w:t>
      </w:r>
    </w:p>
    <w:p>
      <w:pPr>
        <w:pStyle w:val="Normal"/>
        <w:spacing w:before="0" w:after="40"/>
        <w:ind w:start="227"/>
        <w:rPr/>
      </w:pPr>
      <w:r>
        <w:rPr/>
        <w:t xml:space="preserve">• </w:t>
      </w:r>
      <w:r>
        <w:rPr/>
        <w:t>Be appreciative, non-defensive, and transparent about what is revised versus what is acknowledged as a limitation.</w:t>
      </w:r>
    </w:p>
    <w:p>
      <w:pPr>
        <w:pStyle w:val="Normal"/>
        <w:spacing w:before="0" w:after="40"/>
        <w:ind w:start="227"/>
        <w:rPr/>
      </w:pPr>
      <w:r>
        <w:rPr/>
        <w:t xml:space="preserve">• </w:t>
      </w:r>
      <w:r>
        <w:rPr/>
        <w:t>Where direct data do not exist, avoid pretending to have measured them; instead reposition the corresponding text as theoretical interpretation and future work.</w:t>
      </w:r>
    </w:p>
    <w:p>
      <w:pPr>
        <w:pStyle w:val="Normal"/>
        <w:spacing w:before="0" w:after="40"/>
        <w:ind w:start="227"/>
        <w:rPr/>
      </w:pPr>
      <w:r>
        <w:rPr/>
        <w:t xml:space="preserve">• </w:t>
      </w:r>
      <w:r>
        <w:rPr/>
        <w:t>Where additional analysis is feasible (assumption checks, improved figure labels, table footnotes, artifact participation summaries), add it.</w:t>
      </w:r>
    </w:p>
    <w:p>
      <w:pPr>
        <w:pStyle w:val="Normal"/>
        <w:rPr/>
      </w:pPr>
      <w:r>
        <w:rPr/>
      </w:r>
      <w:r>
        <w:br w:type="page"/>
      </w:r>
    </w:p>
    <w:p>
      <w:pPr>
        <w:pStyle w:val="Heading1"/>
        <w:spacing w:before="0" w:after="0"/>
        <w:rPr/>
      </w:pPr>
      <w:r>
        <w:rPr/>
        <w:t>Draft reply table for Reviewer 1</w:t>
      </w:r>
    </w:p>
    <w:tbl>
      <w:tblPr>
        <w:tblStyle w:val="TableGrid"/>
        <w:tblW w:w="1042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825"/>
        <w:gridCol w:w="1980"/>
        <w:gridCol w:w="3450"/>
        <w:gridCol w:w="1560"/>
        <w:gridCol w:w="2610"/>
      </w:tblGrid>
      <w:tr>
        <w:trPr>
          <w:tblHeader w:val="true"/>
        </w:trPr>
        <w:tc>
          <w:tcPr>
            <w:tcW w:w="825"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Index</w:t>
            </w:r>
          </w:p>
        </w:tc>
        <w:tc>
          <w:tcPr>
            <w:tcW w:w="1980"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Reviewer comment</w:t>
            </w:r>
          </w:p>
        </w:tc>
        <w:tc>
          <w:tcPr>
            <w:tcW w:w="3450"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Our reply</w:t>
            </w:r>
          </w:p>
        </w:tc>
        <w:tc>
          <w:tcPr>
            <w:tcW w:w="1560"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Page/lines and current text</w:t>
            </w:r>
          </w:p>
        </w:tc>
        <w:tc>
          <w:tcPr>
            <w:tcW w:w="2610"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Proposed update to manuscript text</w:t>
            </w:r>
          </w:p>
        </w:tc>
      </w:tr>
      <w:tr>
        <w:trPr/>
        <w:tc>
          <w:tcPr>
            <w:tcW w:w="825" w:type="dxa"/>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6"/>
                <w:szCs w:val="22"/>
                <w:lang w:val="en-US" w:eastAsia="en-US" w:bidi="ar-SA"/>
              </w:rPr>
              <w:t>R1-1</w:t>
            </w:r>
          </w:p>
        </w:tc>
        <w:tc>
          <w:tcPr>
            <w:tcW w:w="19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The study is timely and original, but empirical validation is limited by single-institution, cross-cohort design, modest effect size, insufficient direct measurement of motivation/cognitive load, and possible semester confounding.</w:t>
            </w:r>
          </w:p>
        </w:tc>
        <w:tc>
          <w:tcPr>
            <w:tcW w:w="345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Thank you. We agree and have revised the manuscript to present the empirical component as an initial quasi-experimental, posttest-only comparison of non-equivalent cohorts. We now temper causal language, foreground the modest effect size, and move motivation/cognitive-load/professional-identity claims from “demonstrated outcomes” to “theoretically consistent interpretations requiring direct measurement in future work.”</w:t>
            </w:r>
          </w:p>
        </w:tc>
        <w:tc>
          <w:tcPr>
            <w:tcW w:w="156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pp. 10–14, lines 323–476. Current text reports cohort comparison, ANOVA, and speculative interpretation linking score dispersion to CLT/SDT.</w:t>
            </w:r>
          </w:p>
        </w:tc>
        <w:tc>
          <w:tcPr>
            <w:tcW w:w="261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Revise methods sentence to: “This preliminary study used a quasi-experimental posttest-only design with three non-equivalent cohorts.” Revise discussion sentences to: “The observed pattern is consistent with the framework’s proposed mechanisms, but these mechanisms were not directly measured in the present study.”</w:t>
            </w:r>
          </w:p>
        </w:tc>
      </w:tr>
      <w:tr>
        <w:trPr/>
        <w:tc>
          <w:tcPr>
            <w:tcW w:w="825" w:type="dxa"/>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6"/>
                <w:szCs w:val="22"/>
                <w:lang w:val="en-US" w:eastAsia="en-US" w:bidi="ar-SA"/>
              </w:rPr>
              <w:t>R1-2</w:t>
            </w:r>
          </w:p>
        </w:tc>
        <w:tc>
          <w:tcPr>
            <w:tcW w:w="19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Figures and tables are satisfactory.</w:t>
            </w:r>
          </w:p>
        </w:tc>
        <w:tc>
          <w:tcPr>
            <w:tcW w:w="345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Thank you. We will retain the tables/figures while improving clarity by standardizing labels, defining abbreviations in footnotes, and clarifying Figure 2 axis labeling and legend text.</w:t>
            </w:r>
          </w:p>
        </w:tc>
        <w:tc>
          <w:tcPr>
            <w:tcW w:w="156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Tables 1–5; Figure 2.</w:t>
            </w:r>
          </w:p>
        </w:tc>
        <w:tc>
          <w:tcPr>
            <w:tcW w:w="261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Add footnotes defining all abbreviations, ensure y-axis label reads “Structured Academic Activities Score (0–100),” and standardize group labels as C1, C2, and E throughout.</w:t>
            </w:r>
          </w:p>
        </w:tc>
      </w:tr>
      <w:tr>
        <w:trPr/>
        <w:tc>
          <w:tcPr>
            <w:tcW w:w="825" w:type="dxa"/>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6"/>
                <w:szCs w:val="22"/>
                <w:lang w:val="en-US" w:eastAsia="en-US" w:bidi="ar-SA"/>
              </w:rPr>
              <w:t>R1-3</w:t>
            </w:r>
          </w:p>
        </w:tc>
        <w:tc>
          <w:tcPr>
            <w:tcW w:w="19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Reference list covers relevant literature adequately and without evident bias.</w:t>
            </w:r>
          </w:p>
        </w:tc>
        <w:tc>
          <w:tcPr>
            <w:tcW w:w="345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Thank you. We will retain the core references while performing a final consistency audit to ensure all in-text citations and bibliography entries match exactly.</w:t>
            </w:r>
          </w:p>
        </w:tc>
        <w:tc>
          <w:tcPr>
            <w:tcW w:w="156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References section, pp. 16–17.</w:t>
            </w:r>
          </w:p>
        </w:tc>
        <w:tc>
          <w:tcPr>
            <w:tcW w:w="261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Cross-check citations; remove uncited items; standardize capitalization, punctuation, and journal formatting.</w:t>
            </w:r>
          </w:p>
        </w:tc>
      </w:tr>
      <w:tr>
        <w:trPr/>
        <w:tc>
          <w:tcPr>
            <w:tcW w:w="825" w:type="dxa"/>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6"/>
                <w:szCs w:val="22"/>
                <w:lang w:val="en-US" w:eastAsia="en-US" w:bidi="ar-SA"/>
              </w:rPr>
              <w:t>R1-4</w:t>
            </w:r>
          </w:p>
        </w:tc>
        <w:tc>
          <w:tcPr>
            <w:tcW w:w="19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Statistical methods are valid and correctly applied.</w:t>
            </w:r>
          </w:p>
        </w:tc>
        <w:tc>
          <w:tcPr>
            <w:tcW w:w="345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Thank you. We appreciate this assessment. In revision we will still strengthen the reporting by adding assumption checks, clarifying effect-size interpretation, and correcting internal inconsistencies in the post-hoc table/text.</w:t>
            </w:r>
          </w:p>
        </w:tc>
        <w:tc>
          <w:tcPr>
            <w:tcW w:w="156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pp. 10–13, lines 348–401. Current text reports ANOVA, Tukey HSD, Cohen’s d, and Levene’s test.</w:t>
            </w:r>
          </w:p>
        </w:tc>
        <w:tc>
          <w:tcPr>
            <w:tcW w:w="261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Add normality/variance-assumption note; correct the Experiment-vs-Control 1 entry so the p-value, confidence interval, and significance label are consistent across Table 5 and the narrative.</w:t>
            </w:r>
          </w:p>
        </w:tc>
      </w:tr>
      <w:tr>
        <w:trPr/>
        <w:tc>
          <w:tcPr>
            <w:tcW w:w="825" w:type="dxa"/>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6"/>
                <w:szCs w:val="22"/>
                <w:lang w:val="en-US" w:eastAsia="en-US" w:bidi="ar-SA"/>
              </w:rPr>
              <w:t>R1-5</w:t>
            </w:r>
          </w:p>
        </w:tc>
        <w:tc>
          <w:tcPr>
            <w:tcW w:w="19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 statistician is required to evaluate this study.</w:t>
            </w:r>
          </w:p>
        </w:tc>
        <w:tc>
          <w:tcPr>
            <w:tcW w:w="345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We appreciate this recommendation and will seek statistical review before resubmission. We will report that the revised analyses and tables were rechecked for consistency and interpretation.</w:t>
            </w:r>
          </w:p>
        </w:tc>
        <w:tc>
          <w:tcPr>
            <w:tcW w:w="156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pp. 10–14, lines 348–476.</w:t>
            </w:r>
          </w:p>
        </w:tc>
        <w:tc>
          <w:tcPr>
            <w:tcW w:w="261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Add a brief note in the author response letter that the statistics section and tables were re-audited prior to resubmission.</w:t>
            </w:r>
          </w:p>
        </w:tc>
      </w:tr>
      <w:tr>
        <w:trPr/>
        <w:tc>
          <w:tcPr>
            <w:tcW w:w="825" w:type="dxa"/>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6"/>
                <w:szCs w:val="22"/>
                <w:lang w:val="en-US" w:eastAsia="en-US" w:bidi="ar-SA"/>
              </w:rPr>
              <w:t>R1-6</w:t>
            </w:r>
          </w:p>
        </w:tc>
        <w:tc>
          <w:tcPr>
            <w:tcW w:w="19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Methods are sufficiently documented to allow replication studies.</w:t>
            </w:r>
          </w:p>
        </w:tc>
        <w:tc>
          <w:tcPr>
            <w:tcW w:w="345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Thank you. To make replication easier, we will further clarify the instructional context, cohort timing, scoring rubric usage, and the nature of the artifacts assessed.</w:t>
            </w:r>
          </w:p>
        </w:tc>
        <w:tc>
          <w:tcPr>
            <w:tcW w:w="156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 10, lines 323–334.</w:t>
            </w:r>
          </w:p>
        </w:tc>
        <w:tc>
          <w:tcPr>
            <w:tcW w:w="261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Expand the study-context paragraph with course level, semester timing, cohort sizes, intervention status, common assessment basis, and artifact types assessed.</w:t>
            </w:r>
          </w:p>
        </w:tc>
      </w:tr>
      <w:tr>
        <w:trPr/>
        <w:tc>
          <w:tcPr>
            <w:tcW w:w="825" w:type="dxa"/>
            <w:tcBorders>
              <w:top w:val="nil"/>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 w:val="16"/>
                <w:szCs w:val="16"/>
                <w:lang w:val="en-US" w:eastAsia="en-US" w:bidi="ar-SA"/>
              </w:rPr>
            </w:pPr>
            <w:r>
              <w:rPr>
                <w:rFonts w:eastAsia="ＭＳ 明朝" w:cs=""/>
                <w:kern w:val="0"/>
                <w:sz w:val="16"/>
                <w:szCs w:val="16"/>
                <w:lang w:val="en-US" w:eastAsia="en-US" w:bidi="ar-SA"/>
              </w:rPr>
              <w:t>RI-7</w:t>
            </w:r>
          </w:p>
        </w:tc>
        <w:tc>
          <w:tcPr>
            <w:tcW w:w="1980" w:type="dxa"/>
            <w:tcBorders>
              <w:top w:val="nil"/>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 w:val="16"/>
                <w:szCs w:val="16"/>
                <w:lang w:val="en-US" w:eastAsia="en-US" w:bidi="ar-SA"/>
              </w:rPr>
            </w:pPr>
            <w:r>
              <w:rPr>
                <w:rFonts w:eastAsia="ＭＳ 明朝" w:cs=""/>
                <w:kern w:val="0"/>
                <w:sz w:val="16"/>
                <w:szCs w:val="16"/>
                <w:lang w:val="en-US" w:eastAsia="en-US" w:bidi="ar-SA"/>
              </w:rPr>
              <w:t>Problem in Abstract: sample size is not mentioned</w:t>
            </w:r>
          </w:p>
        </w:tc>
        <w:tc>
          <w:tcPr>
            <w:tcW w:w="3450" w:type="dxa"/>
            <w:tcBorders>
              <w:top w:val="nil"/>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 w:val="16"/>
                <w:szCs w:val="16"/>
                <w:lang w:val="en-US" w:eastAsia="en-US" w:bidi="ar-SA"/>
              </w:rPr>
            </w:pPr>
            <w:r>
              <w:rPr>
                <w:rFonts w:eastAsia="ＭＳ 明朝" w:cs=""/>
                <w:kern w:val="0"/>
                <w:sz w:val="16"/>
                <w:szCs w:val="16"/>
                <w:lang w:val="en-US" w:eastAsia="en-US" w:bidi="ar-SA"/>
              </w:rPr>
              <w:t>Thank you. Abstract has been updated to mention the sample size</w:t>
            </w:r>
          </w:p>
        </w:tc>
        <w:tc>
          <w:tcPr>
            <w:tcW w:w="1560" w:type="dxa"/>
            <w:tcBorders>
              <w:top w:val="nil"/>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 w:val="16"/>
                <w:szCs w:val="16"/>
                <w:lang w:val="en-US" w:eastAsia="en-US" w:bidi="ar-SA"/>
              </w:rPr>
            </w:pPr>
            <w:r>
              <w:rPr>
                <w:rFonts w:eastAsia="ＭＳ 明朝" w:cs=""/>
                <w:kern w:val="0"/>
                <w:sz w:val="16"/>
                <w:szCs w:val="16"/>
                <w:lang w:val="en-US" w:eastAsia="en-US" w:bidi="ar-SA"/>
              </w:rPr>
            </w:r>
          </w:p>
        </w:tc>
        <w:tc>
          <w:tcPr>
            <w:tcW w:w="2610" w:type="dxa"/>
            <w:tcBorders>
              <w:top w:val="nil"/>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 w:val="16"/>
                <w:szCs w:val="16"/>
                <w:lang w:val="en-US" w:eastAsia="en-US" w:bidi="ar-SA"/>
              </w:rPr>
            </w:pPr>
            <w:r>
              <w:rPr>
                <w:rFonts w:eastAsia="ＭＳ 明朝" w:cs=""/>
                <w:kern w:val="0"/>
                <w:sz w:val="16"/>
                <w:szCs w:val="16"/>
                <w:lang w:val="en-US" w:eastAsia="en-US" w:bidi="ar-SA"/>
              </w:rPr>
            </w:r>
          </w:p>
        </w:tc>
      </w:tr>
      <w:tr>
        <w:trPr/>
        <w:tc>
          <w:tcPr>
            <w:tcW w:w="825" w:type="dxa"/>
            <w:tcBorders>
              <w:top w:val="nil"/>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 w:val="16"/>
                <w:szCs w:val="16"/>
                <w:lang w:val="en-US" w:eastAsia="en-US" w:bidi="ar-SA"/>
              </w:rPr>
            </w:pPr>
            <w:r>
              <w:rPr>
                <w:rFonts w:eastAsia="ＭＳ 明朝" w:cs=""/>
                <w:kern w:val="0"/>
                <w:sz w:val="16"/>
                <w:szCs w:val="16"/>
                <w:lang w:val="en-US" w:eastAsia="en-US" w:bidi="ar-SA"/>
              </w:rPr>
              <w:t>RI-8</w:t>
            </w:r>
          </w:p>
        </w:tc>
        <w:tc>
          <w:tcPr>
            <w:tcW w:w="1980" w:type="dxa"/>
            <w:tcBorders>
              <w:top w:val="nil"/>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 w:val="16"/>
                <w:szCs w:val="16"/>
                <w:lang w:val="en-US" w:eastAsia="en-US" w:bidi="ar-SA"/>
              </w:rPr>
            </w:pPr>
            <w:r>
              <w:rPr>
                <w:rFonts w:eastAsia="ＭＳ 明朝" w:cs=""/>
                <w:kern w:val="0"/>
                <w:sz w:val="16"/>
                <w:szCs w:val="16"/>
                <w:lang w:val="en-US" w:eastAsia="en-US" w:bidi="ar-SA"/>
              </w:rPr>
              <w:t>Problem in Conclusions: Discussions and Implications are not mentioned</w:t>
            </w:r>
          </w:p>
        </w:tc>
        <w:tc>
          <w:tcPr>
            <w:tcW w:w="3450" w:type="dxa"/>
            <w:tcBorders>
              <w:top w:val="nil"/>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 w:val="16"/>
                <w:szCs w:val="16"/>
                <w:lang w:val="en-US" w:eastAsia="en-US" w:bidi="ar-SA"/>
              </w:rPr>
            </w:pPr>
            <w:r>
              <w:rPr>
                <w:rFonts w:eastAsia="ＭＳ 明朝" w:cs=""/>
                <w:kern w:val="0"/>
                <w:sz w:val="16"/>
                <w:szCs w:val="16"/>
                <w:lang w:val="en-US" w:eastAsia="en-US" w:bidi="ar-SA"/>
              </w:rPr>
              <w:t>Thank you. We add discussions and implications at the conclusions</w:t>
            </w:r>
          </w:p>
        </w:tc>
        <w:tc>
          <w:tcPr>
            <w:tcW w:w="1560" w:type="dxa"/>
            <w:tcBorders>
              <w:top w:val="nil"/>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 w:val="16"/>
                <w:szCs w:val="16"/>
                <w:lang w:val="en-US" w:eastAsia="en-US" w:bidi="ar-SA"/>
              </w:rPr>
            </w:pPr>
            <w:r>
              <w:rPr>
                <w:rFonts w:eastAsia="ＭＳ 明朝" w:cs=""/>
                <w:kern w:val="0"/>
                <w:sz w:val="16"/>
                <w:szCs w:val="16"/>
                <w:lang w:val="en-US" w:eastAsia="en-US" w:bidi="ar-SA"/>
              </w:rPr>
            </w:r>
          </w:p>
        </w:tc>
        <w:tc>
          <w:tcPr>
            <w:tcW w:w="2610" w:type="dxa"/>
            <w:tcBorders>
              <w:top w:val="nil"/>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 w:val="16"/>
                <w:szCs w:val="16"/>
                <w:lang w:val="en-US" w:eastAsia="en-US" w:bidi="ar-SA"/>
              </w:rPr>
            </w:pPr>
            <w:r>
              <w:rPr>
                <w:rFonts w:eastAsia="ＭＳ 明朝" w:cs=""/>
                <w:kern w:val="0"/>
                <w:sz w:val="16"/>
                <w:szCs w:val="16"/>
                <w:lang w:val="en-US" w:eastAsia="en-US" w:bidi="ar-SA"/>
              </w:rPr>
            </w:r>
          </w:p>
        </w:tc>
      </w:tr>
    </w:tbl>
    <w:p>
      <w:pPr>
        <w:pStyle w:val="Normal"/>
        <w:rPr/>
      </w:pPr>
      <w:r>
        <w:rPr/>
      </w:r>
    </w:p>
    <w:p>
      <w:pPr>
        <w:pStyle w:val="Normal"/>
        <w:rPr/>
      </w:pPr>
      <w:r>
        <w:rPr/>
      </w:r>
      <w:r>
        <w:br w:type="page"/>
      </w:r>
    </w:p>
    <w:p>
      <w:pPr>
        <w:pStyle w:val="Heading1"/>
        <w:spacing w:before="0" w:after="0"/>
        <w:rPr/>
      </w:pPr>
      <w:r>
        <w:rPr/>
        <w:t>Draft reply table for Reviewer 2</w:t>
      </w:r>
    </w:p>
    <w:tbl>
      <w:tblPr>
        <w:tblStyle w:val="TableGrid"/>
        <w:tblW w:w="1042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825"/>
        <w:gridCol w:w="1980"/>
        <w:gridCol w:w="3450"/>
        <w:gridCol w:w="1590"/>
        <w:gridCol w:w="2580"/>
      </w:tblGrid>
      <w:tr>
        <w:trPr>
          <w:tblHeader w:val="true"/>
        </w:trPr>
        <w:tc>
          <w:tcPr>
            <w:tcW w:w="825"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Index</w:t>
            </w:r>
          </w:p>
        </w:tc>
        <w:tc>
          <w:tcPr>
            <w:tcW w:w="1980"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Reviewer comment</w:t>
            </w:r>
          </w:p>
        </w:tc>
        <w:tc>
          <w:tcPr>
            <w:tcW w:w="3450"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Our reply</w:t>
            </w:r>
          </w:p>
        </w:tc>
        <w:tc>
          <w:tcPr>
            <w:tcW w:w="1590"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Page/lines and current text</w:t>
            </w:r>
          </w:p>
        </w:tc>
        <w:tc>
          <w:tcPr>
            <w:tcW w:w="2580" w:type="dxa"/>
            <w:tcBorders/>
            <w:shd w:fill="D9EAF7" w:val="cle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6"/>
                <w:szCs w:val="22"/>
                <w:lang w:val="en-US" w:eastAsia="en-US" w:bidi="ar-SA"/>
              </w:rPr>
              <w:t>Proposed update to manuscript text</w:t>
            </w:r>
          </w:p>
        </w:tc>
      </w:tr>
      <w:tr>
        <w:trPr/>
        <w:tc>
          <w:tcPr>
            <w:tcW w:w="825" w:type="dxa"/>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6"/>
                <w:szCs w:val="22"/>
                <w:lang w:val="en-US" w:eastAsia="en-US" w:bidi="ar-SA"/>
              </w:rPr>
              <w:t>R2-1</w:t>
            </w:r>
          </w:p>
        </w:tc>
        <w:tc>
          <w:tcPr>
            <w:tcW w:w="19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Title is informative but long and dense.</w:t>
            </w:r>
          </w:p>
        </w:tc>
        <w:tc>
          <w:tcPr>
            <w:tcW w:w="345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Thank you. We agree the title can be tightened. We will shorten it while preserving the framework name and the educational contribution.</w:t>
            </w:r>
          </w:p>
        </w:tc>
        <w:tc>
          <w:tcPr>
            <w:tcW w:w="159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 1, line 1.</w:t>
            </w:r>
          </w:p>
        </w:tc>
        <w:tc>
          <w:tcPr>
            <w:tcW w:w="25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Proposed title: “Value Co-Creation in Digital Engineering Education: The TISE-VALORIZE Framework.”</w:t>
            </w:r>
          </w:p>
        </w:tc>
      </w:tr>
      <w:tr>
        <w:trPr/>
        <w:tc>
          <w:tcPr>
            <w:tcW w:w="825" w:type="dxa"/>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6"/>
                <w:szCs w:val="22"/>
                <w:lang w:val="en-US" w:eastAsia="en-US" w:bidi="ar-SA"/>
              </w:rPr>
              <w:t>R2-2</w:t>
            </w:r>
          </w:p>
        </w:tc>
        <w:tc>
          <w:tcPr>
            <w:tcW w:w="19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Abstract lacks explicit sample size, design, tests, and operationalized results; some wording is normative.</w:t>
            </w:r>
          </w:p>
        </w:tc>
        <w:tc>
          <w:tcPr>
            <w:tcW w:w="345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Agreed. We will rewrite the abstract in Background–Objective–Method–Results–Conclusion form, report cohort sizes and design, give the main test statistics, and replace normative language with operational wording.</w:t>
            </w:r>
          </w:p>
        </w:tc>
        <w:tc>
          <w:tcPr>
            <w:tcW w:w="159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 1, lines 13–26.</w:t>
            </w:r>
          </w:p>
        </w:tc>
        <w:tc>
          <w:tcPr>
            <w:tcW w:w="25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Replace with a structured abstract stating the quasi-experimental posttest-only cohort comparison (C1 n=42, C2 n=43, E n=53), one-way ANOVA results, lower variance in E, and cautious conclusion framed as preliminary evidence.</w:t>
            </w:r>
          </w:p>
        </w:tc>
      </w:tr>
      <w:tr>
        <w:trPr/>
        <w:tc>
          <w:tcPr>
            <w:tcW w:w="825" w:type="dxa"/>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6"/>
                <w:szCs w:val="22"/>
                <w:lang w:val="en-US" w:eastAsia="en-US" w:bidi="ar-SA"/>
              </w:rPr>
              <w:t>R2-3</w:t>
            </w:r>
          </w:p>
        </w:tc>
        <w:tc>
          <w:tcPr>
            <w:tcW w:w="19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Hypotheses are not stated clearly; introduction flow from problem to theory/framework is not sharp enough; citations are too dense.</w:t>
            </w:r>
          </w:p>
        </w:tc>
        <w:tc>
          <w:tcPr>
            <w:tcW w:w="345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Agreed. We will end the introduction with explicitly enumerated research questions/hypotheses, add a brief bridging paragraph explaining why CLT, SDT, and professional identity are the core lenses, and trim excess citations.</w:t>
            </w:r>
          </w:p>
        </w:tc>
        <w:tc>
          <w:tcPr>
            <w:tcW w:w="159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pp. 2–3, lines 58–87.</w:t>
            </w:r>
          </w:p>
        </w:tc>
        <w:tc>
          <w:tcPr>
            <w:tcW w:w="25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Rewrite the final introduction paragraph into explicit RQ/H1–H5 statements and add a concise synthesis paragraph linking the educational problem to CLT, SDT, and professional formation.</w:t>
            </w:r>
          </w:p>
        </w:tc>
      </w:tr>
      <w:tr>
        <w:trPr/>
        <w:tc>
          <w:tcPr>
            <w:tcW w:w="825" w:type="dxa"/>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6"/>
                <w:szCs w:val="22"/>
                <w:lang w:val="en-US" w:eastAsia="en-US" w:bidi="ar-SA"/>
              </w:rPr>
              <w:t>R2-4</w:t>
            </w:r>
          </w:p>
        </w:tc>
        <w:tc>
          <w:tcPr>
            <w:tcW w:w="19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Theoretical framework is rich but over-theorized; conceptual integration and variable mapping are unclear; operationalization of cognitive load is unclear.</w:t>
            </w:r>
          </w:p>
        </w:tc>
        <w:tc>
          <w:tcPr>
            <w:tcW w:w="345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Agreed. We will simplify the exposition, add a framework diagram linking intervention components to proposed mechanisms and measured outcomes, and explicitly state that cognitive load, autonomy, relatedness, and professional identity were not directly measured in this preliminary study.</w:t>
            </w:r>
          </w:p>
        </w:tc>
        <w:tc>
          <w:tcPr>
            <w:tcW w:w="159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pp. 5–7, lines 166–218; pp. 13–14, lines 417–442.</w:t>
            </w:r>
          </w:p>
        </w:tc>
        <w:tc>
          <w:tcPr>
            <w:tcW w:w="25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Add a new integrative figure: “TISE-VALORIZE conceptual model.” Add methods sentence: “The present study did not directly administer standardized measures of cognitive load, intrinsic motivation, or professional identity; these constructs are treated as proposed mechanisms for future testing.”</w:t>
            </w:r>
          </w:p>
        </w:tc>
      </w:tr>
      <w:tr>
        <w:trPr/>
        <w:tc>
          <w:tcPr>
            <w:tcW w:w="825" w:type="dxa"/>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6"/>
                <w:szCs w:val="22"/>
                <w:lang w:val="en-US" w:eastAsia="en-US" w:bidi="ar-SA"/>
              </w:rPr>
              <w:t>R2-5</w:t>
            </w:r>
          </w:p>
        </w:tc>
        <w:tc>
          <w:tcPr>
            <w:tcW w:w="19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Methods: no randomization, no pretest, no demographic details, no rubric validity/reliability evidence.</w:t>
            </w:r>
          </w:p>
        </w:tc>
        <w:tc>
          <w:tcPr>
            <w:tcW w:w="345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We agree. We will explicitly label the design as non-randomized and posttest-only, add available participant/context information, clarify the common scoring basis across cohorts, and state rubric reliability evidence if available; otherwise we will acknowledge its absence as a limitation.</w:t>
            </w:r>
          </w:p>
        </w:tc>
        <w:tc>
          <w:tcPr>
            <w:tcW w:w="159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 10, lines 323–334; p. 14, lines 448–476.</w:t>
            </w:r>
          </w:p>
        </w:tc>
        <w:tc>
          <w:tcPr>
            <w:tcW w:w="25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Revise opening methods paragraph to: “This preliminary study used a quasi-experimental posttest-only design with non-equivalent cohorts.” Add participant/context sentence and a limitation sentence regarding lack of pretest and limited demographic control.</w:t>
            </w:r>
          </w:p>
        </w:tc>
      </w:tr>
      <w:tr>
        <w:trPr/>
        <w:tc>
          <w:tcPr>
            <w:tcW w:w="825" w:type="dxa"/>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6"/>
                <w:szCs w:val="22"/>
                <w:lang w:val="en-US" w:eastAsia="en-US" w:bidi="ar-SA"/>
              </w:rPr>
              <w:t>R2-6</w:t>
            </w:r>
          </w:p>
        </w:tc>
        <w:tc>
          <w:tcPr>
            <w:tcW w:w="19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Results: effect size is modest and must be discussed honestly; additional checks and richer visualization are desirable; claims about motivation/cognitive load/identity are unsupported by direct data.</w:t>
            </w:r>
          </w:p>
        </w:tc>
        <w:tc>
          <w:tcPr>
            <w:tcW w:w="345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Agreed. We will present η² = .061 as modest, add assumption-check reporting where available, consider a richer score-distribution graphic, and remove any wording that implies these psychological constructs were directly demonstrated.</w:t>
            </w:r>
          </w:p>
        </w:tc>
        <w:tc>
          <w:tcPr>
            <w:tcW w:w="159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pp. 10–13, lines 348–407.</w:t>
            </w:r>
          </w:p>
        </w:tc>
        <w:tc>
          <w:tcPr>
            <w:tcW w:w="25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Replace “made learning fairer and more equal” with “was associated with lower score dispersion in this sample.” Add assumption-check note and, if feasible, an improved distribution plot.</w:t>
            </w:r>
          </w:p>
        </w:tc>
      </w:tr>
      <w:tr>
        <w:trPr/>
        <w:tc>
          <w:tcPr>
            <w:tcW w:w="825" w:type="dxa"/>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6"/>
                <w:szCs w:val="22"/>
                <w:lang w:val="en-US" w:eastAsia="en-US" w:bidi="ar-SA"/>
              </w:rPr>
              <w:t>R2-7</w:t>
            </w:r>
          </w:p>
        </w:tc>
        <w:tc>
          <w:tcPr>
            <w:tcW w:w="19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Discussion over-interprets the findings and should distinguish supported findings from speculative mechanisms.</w:t>
            </w:r>
          </w:p>
        </w:tc>
        <w:tc>
          <w:tcPr>
            <w:tcW w:w="345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Agreed. We will separate supported empirical findings from theoretical interpretation and use more cautious verbs throughout.</w:t>
            </w:r>
          </w:p>
        </w:tc>
        <w:tc>
          <w:tcPr>
            <w:tcW w:w="159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pp. 13–14, lines 408–442.</w:t>
            </w:r>
          </w:p>
        </w:tc>
        <w:tc>
          <w:tcPr>
            <w:tcW w:w="25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Replace statements such as “meeting all three needs at the same time boosts intrinsic motivation” with “the observed participation structure is consistent with SDT, but intrinsic motivation was not directly measured in this study.”</w:t>
            </w:r>
          </w:p>
        </w:tc>
      </w:tr>
      <w:tr>
        <w:trPr/>
        <w:tc>
          <w:tcPr>
            <w:tcW w:w="825" w:type="dxa"/>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6"/>
                <w:szCs w:val="22"/>
                <w:lang w:val="en-US" w:eastAsia="en-US" w:bidi="ar-SA"/>
              </w:rPr>
              <w:t>R2-8</w:t>
            </w:r>
          </w:p>
        </w:tc>
        <w:tc>
          <w:tcPr>
            <w:tcW w:w="19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Limitations should be a distinct section before the conclusion.</w:t>
            </w:r>
          </w:p>
        </w:tc>
        <w:tc>
          <w:tcPr>
            <w:tcW w:w="345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Agreed. We will move the limitations material into a standalone subsection and expand it slightly to include the non-equivalent cohort design, lack of pretest, indirect outcome measures, and limited power.</w:t>
            </w:r>
          </w:p>
        </w:tc>
        <w:tc>
          <w:tcPr>
            <w:tcW w:w="159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pp. 14–16, lines 448–476 and 477–541.</w:t>
            </w:r>
          </w:p>
        </w:tc>
        <w:tc>
          <w:tcPr>
            <w:tcW w:w="25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Create subsection “6.X Limitations and Future Research” immediately before the conclusion.</w:t>
            </w:r>
          </w:p>
        </w:tc>
      </w:tr>
      <w:tr>
        <w:trPr/>
        <w:tc>
          <w:tcPr>
            <w:tcW w:w="825" w:type="dxa"/>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6"/>
                <w:szCs w:val="22"/>
                <w:lang w:val="en-US" w:eastAsia="en-US" w:bidi="ar-SA"/>
              </w:rPr>
              <w:t>R2-9</w:t>
            </w:r>
          </w:p>
        </w:tc>
        <w:tc>
          <w:tcPr>
            <w:tcW w:w="19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Conclusion is too long and repetitive.</w:t>
            </w:r>
          </w:p>
        </w:tc>
        <w:tc>
          <w:tcPr>
            <w:tcW w:w="345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Agreed. We will shorten the conclusion to a compact statement of contribution, key preliminary finding, practical implication, and future research agenda.</w:t>
            </w:r>
          </w:p>
        </w:tc>
        <w:tc>
          <w:tcPr>
            <w:tcW w:w="159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pp. 15–16, lines 512–541.</w:t>
            </w:r>
          </w:p>
        </w:tc>
        <w:tc>
          <w:tcPr>
            <w:tcW w:w="25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Replace with a 3–4 sentence conclusion emphasizing framework contribution, preliminary cohort-level evidence, and need for direct multi-institutional validation.</w:t>
            </w:r>
          </w:p>
        </w:tc>
      </w:tr>
      <w:tr>
        <w:trPr/>
        <w:tc>
          <w:tcPr>
            <w:tcW w:w="825" w:type="dxa"/>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6"/>
                <w:szCs w:val="22"/>
                <w:lang w:val="en-US" w:eastAsia="en-US" w:bidi="ar-SA"/>
              </w:rPr>
              <w:t>R2-10</w:t>
            </w:r>
          </w:p>
        </w:tc>
        <w:tc>
          <w:tcPr>
            <w:tcW w:w="19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References need consistency checking; some items may be uncited; stronger journal-source prioritization is advised.</w:t>
            </w:r>
          </w:p>
        </w:tc>
        <w:tc>
          <w:tcPr>
            <w:tcW w:w="345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Agreed. We will conduct a full reference audit, remove any uncited sources, and standardize formatting with a reference manager.</w:t>
            </w:r>
          </w:p>
        </w:tc>
        <w:tc>
          <w:tcPr>
            <w:tcW w:w="159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pp. 16–17, References.</w:t>
            </w:r>
          </w:p>
        </w:tc>
        <w:tc>
          <w:tcPr>
            <w:tcW w:w="25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Clean bibliography; ensure every entry appears in text and every in-text citation has a matching reference.</w:t>
            </w:r>
          </w:p>
        </w:tc>
      </w:tr>
      <w:tr>
        <w:trPr/>
        <w:tc>
          <w:tcPr>
            <w:tcW w:w="825" w:type="dxa"/>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6"/>
                <w:szCs w:val="22"/>
                <w:lang w:val="en-US" w:eastAsia="en-US" w:bidi="ar-SA"/>
              </w:rPr>
              <w:t>R2-11</w:t>
            </w:r>
          </w:p>
        </w:tc>
        <w:tc>
          <w:tcPr>
            <w:tcW w:w="19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Ethics, data availability, and generative-AI disclosure require clearer verification and transparency.</w:t>
            </w:r>
          </w:p>
        </w:tc>
        <w:tc>
          <w:tcPr>
            <w:tcW w:w="345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Agreed. We will verify institutional requirements for ethics review/exemption, clarify the basis for the ethics statement, and expand the disclosure to transparently describe any generative-AI-assisted language or visual editing tools used in manuscript preparation.</w:t>
            </w:r>
          </w:p>
        </w:tc>
        <w:tc>
          <w:tcPr>
            <w:tcW w:w="159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Back matter, pp. 16–17. Current text includes data availability, conflict of interest, funding, and acknowledgments; ethics/disclosure wording needs clearer explicit reporting.</w:t>
            </w:r>
          </w:p>
        </w:tc>
        <w:tc>
          <w:tcPr>
            <w:tcW w:w="25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Add explicit ethics statement indicating whether approval/exemption was obtained and on what basis; add transparent AI-use disclosure specifying scope of tool use and stating that no AI system performed the statistical analysis unless that was actually the case.</w:t>
            </w:r>
          </w:p>
        </w:tc>
      </w:tr>
      <w:tr>
        <w:trPr/>
        <w:tc>
          <w:tcPr>
            <w:tcW w:w="825" w:type="dxa"/>
            <w:tcBorders/>
            <w:tcMar>
              <w:top w:w="70" w:type="dxa"/>
              <w:start w:w="70" w:type="dxa"/>
              <w:bottom w:w="70" w:type="dxa"/>
              <w:end w:w="70" w:type="dxa"/>
            </w:tcM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6"/>
                <w:szCs w:val="22"/>
                <w:lang w:val="en-US" w:eastAsia="en-US" w:bidi="ar-SA"/>
              </w:rPr>
              <w:t>R2-12</w:t>
            </w:r>
          </w:p>
        </w:tc>
        <w:tc>
          <w:tcPr>
            <w:tcW w:w="19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Figures/tables can be improved with clearer axis labels, abbreviations, and formatting.</w:t>
            </w:r>
          </w:p>
        </w:tc>
        <w:tc>
          <w:tcPr>
            <w:tcW w:w="345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Agreed. We will standardize figure axis labels and table footnotes, and we will ensure graphical files are high-resolution and publication-ready.</w:t>
            </w:r>
          </w:p>
        </w:tc>
        <w:tc>
          <w:tcPr>
            <w:tcW w:w="159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Tables 3–5 and Figure 2, pp. 10–13.</w:t>
            </w:r>
          </w:p>
        </w:tc>
        <w:tc>
          <w:tcPr>
            <w:tcW w:w="2580" w:type="dxa"/>
            <w:tcBorders/>
            <w:tcMar>
              <w:top w:w="70" w:type="dxa"/>
              <w:start w:w="70" w:type="dxa"/>
              <w:bottom w:w="70" w:type="dxa"/>
              <w:end w:w="70" w:type="dxa"/>
            </w:tcMar>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6"/>
                <w:szCs w:val="22"/>
                <w:lang w:val="en-US" w:eastAsia="en-US" w:bidi="ar-SA"/>
              </w:rPr>
              <w:t>Add footnotes for abbreviations; revise Figure 2 labels/legend; check consistency of p-values, CIs, and significance labels in Table 5.</w:t>
            </w:r>
          </w:p>
        </w:tc>
      </w:tr>
    </w:tbl>
    <w:p>
      <w:pPr>
        <w:pStyle w:val="Normal"/>
        <w:widowControl/>
        <w:bidi w:val="0"/>
        <w:spacing w:lineRule="auto" w:line="276" w:before="0" w:after="200"/>
        <w:jc w:val="start"/>
        <w:rPr/>
      </w:pPr>
      <w:r>
        <w:rPr/>
      </w:r>
    </w:p>
    <w:sectPr>
      <w:type w:val="nextPage"/>
      <w:pgSz w:w="12240" w:h="15840"/>
      <w:pgMar w:left="907" w:right="907" w:gutter="0" w:header="0" w:top="1020" w:footer="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2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366092"/>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79"/>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 w:customStyle="1">
    <w:name w:val="Small"/>
    <w:basedOn w:val="Normal"/>
    <w:qFormat/>
    <w:pPr/>
    <w:rPr>
      <w:rFonts w:ascii="Aptos" w:hAnsi="Aptos"/>
      <w:sz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Application>LibreOffice/26.2.1.2$Windows_X86_64 LibreOffice_project/620$Build-2</Application>
  <AppVersion>15.0000</AppVersion>
  <Pages>4</Pages>
  <Words>1722</Words>
  <Characters>10798</Characters>
  <CharactersWithSpaces>12357</CharactersWithSpaces>
  <Paragraphs>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en-ID</dc:language>
  <cp:lastModifiedBy/>
  <dcterms:modified xsi:type="dcterms:W3CDTF">2026-03-30T18:31:56Z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