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480"/>
        <w:ind/>
        <w:rPr/>
      </w:pPr>
      <w:r>
        <w:rPr>
          <w:rFonts w:ascii="Calibri" w:hAnsi="Calibri"/>
          <w:b/>
          <w:i w:val="0"/>
          <w:color w:val="111111"/>
          <w:sz w:val="46"/>
        </w:rPr>
        <w:t xml:space="preserve">LAPORAN KEMAJUAN PROYEK RISET</w:t>
      </w:r>
      <w:r/>
    </w:p>
    <w:p>
      <w:pPr>
        <w:pBdr/>
        <w:spacing w:after="360"/>
        <w:ind/>
        <w:rPr/>
      </w:pPr>
      <w:r>
        <w:rPr>
          <w:rFonts w:ascii="Calibri" w:hAnsi="Calibri"/>
          <w:b/>
          <w:i w:val="0"/>
          <w:color w:val="1f4d78"/>
          <w:sz w:val="28"/>
        </w:rPr>
        <w:t xml:space="preserve">Meta-Architecture of Triune-Intelligence Smart Engineering (TISE 3.0)</w:t>
      </w:r>
      <w:r/>
    </w:p>
    <w:p>
      <w:pPr>
        <w:pBdr/>
        <w:spacing w:after="40"/>
        <w:ind/>
        <w:rPr/>
      </w:pPr>
      <w:r>
        <w:rPr>
          <w:rFonts w:ascii="Calibri" w:hAnsi="Calibri"/>
          <w:b/>
          <w:i w:val="0"/>
          <w:color w:val="111111"/>
          <w:sz w:val="22"/>
        </w:rPr>
        <w:t xml:space="preserve">Skema: </w:t>
      </w:r>
      <w:r>
        <w:rPr>
          <w:rFonts w:ascii="Calibri" w:hAnsi="Calibri"/>
          <w:b w:val="0"/>
          <w:i w:val="0"/>
          <w:color w:val="111111"/>
          <w:sz w:val="22"/>
        </w:rPr>
        <w:t xml:space="preserve">Program Riset P2MI STEI - Riset Guru Besar Tahun Anggaran 2026</w:t>
      </w:r>
      <w:r/>
    </w:p>
    <w:p>
      <w:pPr>
        <w:pBdr/>
        <w:spacing w:after="40"/>
        <w:ind/>
        <w:rPr/>
      </w:pPr>
      <w:r>
        <w:rPr>
          <w:rFonts w:ascii="Calibri" w:hAnsi="Calibri"/>
          <w:b/>
          <w:i w:val="0"/>
          <w:color w:val="111111"/>
          <w:sz w:val="22"/>
        </w:rPr>
        <w:t xml:space="preserve">Kode file: </w:t>
      </w:r>
      <w:r>
        <w:rPr>
          <w:rFonts w:ascii="Calibri" w:hAnsi="Calibri"/>
          <w:b w:val="0"/>
          <w:i w:val="0"/>
          <w:color w:val="111111"/>
          <w:sz w:val="22"/>
        </w:rPr>
        <w:t xml:space="preserve">STEI.PPMI-1-43-2026</w:t>
      </w:r>
      <w:r/>
    </w:p>
    <w:p>
      <w:pPr>
        <w:pBdr/>
        <w:spacing w:after="40"/>
        <w:ind/>
        <w:rPr/>
      </w:pPr>
      <w:r>
        <w:rPr>
          <w:rFonts w:ascii="Calibri" w:hAnsi="Calibri"/>
          <w:b/>
          <w:i w:val="0"/>
          <w:color w:val="111111"/>
          <w:sz w:val="22"/>
        </w:rPr>
        <w:t xml:space="preserve">Ketua peneliti: </w:t>
      </w:r>
      <w:r>
        <w:rPr>
          <w:rFonts w:ascii="Calibri" w:hAnsi="Calibri"/>
          <w:b w:val="0"/>
          <w:i w:val="0"/>
          <w:color w:val="111111"/>
          <w:sz w:val="22"/>
        </w:rPr>
        <w:t xml:space="preserve">Prof. Ir. Armein Z. R. Langi, M.Sc., Ph.D.</w:t>
      </w:r>
      <w:r/>
    </w:p>
    <w:p>
      <w:pPr>
        <w:pBdr/>
        <w:spacing w:after="40"/>
        <w:ind/>
        <w:rPr/>
      </w:pPr>
      <w:r>
        <w:rPr>
          <w:rFonts w:ascii="Calibri" w:hAnsi="Calibri"/>
          <w:b/>
          <w:i w:val="0"/>
          <w:color w:val="111111"/>
          <w:sz w:val="22"/>
        </w:rPr>
        <w:t xml:space="preserve">Unit: </w:t>
      </w:r>
      <w:r>
        <w:rPr>
          <w:rFonts w:ascii="Calibri" w:hAnsi="Calibri"/>
          <w:b w:val="0"/>
          <w:i w:val="0"/>
          <w:color w:val="111111"/>
          <w:sz w:val="22"/>
        </w:rPr>
        <w:t xml:space="preserve">Kelompok Keahlian Teknologi Informasi, STEI ITB</w:t>
      </w:r>
      <w:r/>
    </w:p>
    <w:p>
      <w:pPr>
        <w:pBdr/>
        <w:spacing w:after="40"/>
        <w:ind/>
        <w:rPr/>
      </w:pPr>
      <w:r>
        <w:rPr>
          <w:rFonts w:ascii="Calibri" w:hAnsi="Calibri"/>
          <w:b/>
          <w:i w:val="0"/>
          <w:color w:val="111111"/>
          <w:sz w:val="22"/>
        </w:rPr>
        <w:t xml:space="preserve">Periode: </w:t>
      </w:r>
      <w:r>
        <w:rPr>
          <w:rFonts w:ascii="Calibri" w:hAnsi="Calibri"/>
          <w:b w:val="0"/>
          <w:i w:val="0"/>
          <w:color w:val="111111"/>
          <w:sz w:val="22"/>
        </w:rPr>
        <w:t xml:space="preserve">1 April - 31 Desember 2026</w:t>
      </w:r>
      <w:r/>
    </w:p>
    <w:p>
      <w:pPr>
        <w:pBdr/>
        <w:spacing w:after="40"/>
        <w:ind/>
        <w:rPr/>
      </w:pPr>
      <w:r>
        <w:rPr>
          <w:rFonts w:ascii="Calibri" w:hAnsi="Calibri"/>
          <w:b/>
          <w:i w:val="0"/>
          <w:color w:val="111111"/>
          <w:sz w:val="22"/>
        </w:rPr>
        <w:t xml:space="preserve">Posisi laporan: </w:t>
      </w:r>
      <w:r>
        <w:rPr>
          <w:rFonts w:ascii="Calibri" w:hAnsi="Calibri"/>
          <w:b w:val="0"/>
          <w:i w:val="0"/>
          <w:color w:val="111111"/>
          <w:sz w:val="22"/>
        </w:rPr>
        <w:t xml:space="preserve">19 Agustus 2026; transaksi keuangan tersedia sampai 28 Juli 2026</w:t>
      </w:r>
      <w:r/>
    </w:p>
    <w:p>
      <w:pPr>
        <w:pBdr/>
        <w:spacing w:after="60"/>
        <w:ind/>
        <w:rPr/>
      </w:pPr>
      <w:r/>
      <w:r/>
    </w:p>
    <w:tbl>
      <w:tblPr>
        <w:tblInd w:w="120" w:type="dxa"/>
        <w:tblW w:w="9360" w:type="dxa"/>
        <w:tblBorders>
          <w:top w:val="single" w:color="d7b75d" w:sz="8" w:space="0"/>
          <w:left w:val="single" w:color="d7b75d" w:sz="8" w:space="0"/>
          <w:bottom w:val="single" w:color="d7b75d" w:sz="8" w:space="0"/>
          <w:right w:val="single" w:color="d7b75d" w:sz="8" w:space="0"/>
          <w:insideH w:val="single" w:color="d7b75d" w:sz="8" w:space="0"/>
          <w:insideV w:val="single" w:color="d7b75d" w:sz="8" w:space="0"/>
        </w:tblBorders>
        <w:tblLayout w:type="fixed"/>
        <w:tblLook w:val="04A0" w:firstRow="1" w:lastRow="0" w:firstColumn="1" w:lastColumn="0" w:noHBand="0" w:noVBand="1"/>
      </w:tblPr>
      <w:tblGrid>
        <w:gridCol w:w="9360"/>
      </w:tblGrid>
      <w:tr>
        <w:trPr>
          <w:tblHeader/>
        </w:trPr>
        <w:tc>
          <w:tcPr>
            <w:shd w:val="clear" w:color="auto" w:fill="fff7e0"/>
            <w:tcBorders/>
            <w:tcMar>
              <w:left w:w="120" w:type="dxa"/>
              <w:top w:w="80" w:type="dxa"/>
              <w:right w:w="120" w:type="dxa"/>
              <w:bottom w:w="80" w:type="dxa"/>
            </w:tcMar>
            <w:tcW w:w="9360" w:type="dxa"/>
            <w:vAlign w:val="center"/>
            <w:textDirection w:val="lrTb"/>
            <w:noWrap w:val="false"/>
          </w:tcPr>
          <w:p>
            <w:pPr>
              <w:pBdr/>
              <w:spacing w:after="0"/>
              <w:ind/>
              <w:rPr/>
            </w:pPr>
            <w:r>
              <w:rPr>
                <w:rFonts w:ascii="Calibri" w:hAnsi="Calibri"/>
                <w:b/>
                <w:i w:val="0"/>
                <w:color w:val="1f4d78"/>
                <w:sz w:val="22"/>
              </w:rPr>
              <w:t xml:space="preserve">STATUS KESELURUHAN: BERJALAN SESUAI TAHAPAN, DENGAN RISIKO TERKENDALI</w:t>
            </w:r>
            <w:r/>
          </w:p>
          <w:p>
            <w:pPr>
              <w:pBdr/>
              <w:spacing w:after="0"/>
              <w:ind/>
              <w:rPr/>
            </w:pPr>
            <w:r>
              <w:rPr>
                <w:rFonts w:ascii="Calibri" w:hAnsi="Calibri"/>
                <w:b w:val="0"/>
                <w:i w:val="0"/>
                <w:color w:val="111111"/>
                <w:sz w:val="21"/>
              </w:rPr>
              <w:t xml:space="preserve">Arsitektur, rancangan purwarupa, dan instrumen eksperimen telah terdokumentasi. Prioritas berikutnya adalah menghasilkan bukti simulasi final, mengisi bagian hasil, memastikan keterlacakan artefak, dan menuntaskan submit artikel Q1.</w:t>
            </w:r>
            <w:r/>
          </w:p>
        </w:tc>
      </w:tr>
    </w:tbl>
    <w:p>
      <w:pPr>
        <w:pStyle w:val="714"/>
        <w:pBdr/>
        <w:spacing/>
        <w:ind/>
        <w:rPr/>
      </w:pPr>
      <w:r>
        <w:t xml:space="preserve">1. Ringkasan Eksekutif</w:t>
      </w:r>
      <w:r/>
    </w:p>
    <w:p>
      <w:pPr>
        <w:pBdr/>
        <w:spacing/>
        <w:ind/>
        <w:rPr/>
      </w:pPr>
      <w:r>
        <w:rPr>
          <w:rFonts w:ascii="Calibri" w:hAnsi="Calibri"/>
          <w:b w:val="0"/>
          <w:i w:val="0"/>
          <w:color w:val="111111"/>
          <w:sz w:val="22"/>
        </w:rPr>
        <w:t xml:space="preserve">Riset TISE 3.0 bertujuan membangun meta-arsitektur berbasis prompt yang mengubah niat pemangku kep</w:t>
      </w:r>
      <w:r>
        <w:rPr>
          <w:rFonts w:ascii="Calibri" w:hAnsi="Calibri"/>
          <w:b w:val="0"/>
          <w:i w:val="0"/>
          <w:color w:val="111111"/>
          <w:sz w:val="22"/>
        </w:rPr>
        <w:t xml:space="preserve">entingan menjadi spesifikasi SysML v2 dan artefak TISE 2.0 melalui orkestrasi Meta-Architect, Generative Engineer, dan Critic. Berdasarkan dokumen yang tersedia, pekerjaan telah bergerak dari formulasi konsep menuju kesiapan validasi Digital Twin. [S1][S3]</w:t>
      </w:r>
      <w:r/>
    </w:p>
    <w:tbl>
      <w:tblPr>
        <w:tblInd w:w="120" w:type="dxa"/>
        <w:tblW w:w="9360" w:type="dxa"/>
        <w:tblBorders>
          <w:top w:val="single" w:color="b7c0c8" w:sz="6" w:space="0"/>
          <w:left w:val="single" w:color="b7c0c8" w:sz="6" w:space="0"/>
          <w:bottom w:val="single" w:color="b7c0c8" w:sz="6" w:space="0"/>
          <w:right w:val="single" w:color="b7c0c8" w:sz="6" w:space="0"/>
          <w:insideH w:val="single" w:color="b7c0c8" w:sz="6" w:space="0"/>
          <w:insideV w:val="single" w:color="b7c0c8" w:sz="6" w:space="0"/>
        </w:tblBorders>
        <w:tblLayout w:type="fixed"/>
        <w:tblLook w:val="04A0" w:firstRow="1" w:lastRow="0" w:firstColumn="1" w:lastColumn="0" w:noHBand="0" w:noVBand="1"/>
      </w:tblPr>
      <w:tblGrid>
        <w:gridCol w:w="2232"/>
        <w:gridCol w:w="7128"/>
      </w:tblGrid>
      <w:tr>
        <w:trPr>
          <w:tblHeader/>
        </w:trPr>
        <w:tc>
          <w:tcPr>
            <w:shd w:val="clear" w:color="auto" w:fill="e8eef5"/>
            <w:tcBorders/>
            <w:tcMar>
              <w:left w:w="120" w:type="dxa"/>
              <w:top w:w="80" w:type="dxa"/>
              <w:right w:w="120" w:type="dxa"/>
              <w:bottom w:w="80" w:type="dxa"/>
            </w:tcMar>
            <w:tcW w:w="2232" w:type="dxa"/>
            <w:vAlign w:val="center"/>
            <w:textDirection w:val="lrTb"/>
            <w:noWrap w:val="false"/>
          </w:tcPr>
          <w:p>
            <w:pPr>
              <w:pBdr/>
              <w:spacing w:after="0"/>
              <w:ind/>
              <w:jc w:val="center"/>
              <w:rPr/>
            </w:pPr>
            <w:r>
              <w:rPr>
                <w:rFonts w:ascii="Calibri" w:hAnsi="Calibri"/>
                <w:b/>
                <w:i w:val="0"/>
                <w:color w:val="1f4d78"/>
                <w:sz w:val="19"/>
              </w:rPr>
              <w:t xml:space="preserve">Aspek</w:t>
            </w:r>
            <w:r/>
          </w:p>
        </w:tc>
        <w:tc>
          <w:tcPr>
            <w:shd w:val="clear" w:color="auto" w:fill="e8eef5"/>
            <w:tcBorders/>
            <w:tcMar>
              <w:left w:w="120" w:type="dxa"/>
              <w:top w:w="80" w:type="dxa"/>
              <w:right w:w="120" w:type="dxa"/>
              <w:bottom w:w="80" w:type="dxa"/>
            </w:tcMar>
            <w:tcW w:w="7128" w:type="dxa"/>
            <w:vAlign w:val="center"/>
            <w:textDirection w:val="lrTb"/>
            <w:noWrap w:val="false"/>
          </w:tcPr>
          <w:p>
            <w:pPr>
              <w:pBdr/>
              <w:spacing w:after="0"/>
              <w:ind/>
              <w:jc w:val="center"/>
              <w:rPr/>
            </w:pPr>
            <w:r>
              <w:rPr>
                <w:rFonts w:ascii="Calibri" w:hAnsi="Calibri"/>
                <w:b/>
                <w:i w:val="0"/>
                <w:color w:val="1f4d78"/>
                <w:sz w:val="19"/>
              </w:rPr>
              <w:t xml:space="preserve">Posisi Kemajuan</w:t>
            </w:r>
            <w:r/>
          </w:p>
        </w:tc>
      </w:tr>
      <w:tr>
        <w:trPr/>
        <w:tc>
          <w:tcPr>
            <w:tcBorders/>
            <w:tcMar>
              <w:left w:w="120" w:type="dxa"/>
              <w:top w:w="80" w:type="dxa"/>
              <w:right w:w="120" w:type="dxa"/>
              <w:bottom w:w="80" w:type="dxa"/>
            </w:tcMar>
            <w:tcW w:w="2232" w:type="dxa"/>
            <w:vAlign w:val="center"/>
            <w:textDirection w:val="lrTb"/>
            <w:noWrap w:val="false"/>
          </w:tcPr>
          <w:p>
            <w:pPr>
              <w:pBdr/>
              <w:spacing w:after="0" w:line="252" w:lineRule="auto"/>
              <w:ind/>
              <w:jc w:val="left"/>
              <w:rPr/>
            </w:pPr>
            <w:r>
              <w:rPr>
                <w:rFonts w:ascii="Calibri" w:hAnsi="Calibri"/>
                <w:b w:val="0"/>
                <w:i w:val="0"/>
                <w:color w:val="111111"/>
                <w:sz w:val="19"/>
              </w:rPr>
              <w:t xml:space="preserve">Kemajuan teknis</w:t>
            </w:r>
            <w:r/>
          </w:p>
        </w:tc>
        <w:tc>
          <w:tcPr>
            <w:tcBorders/>
            <w:tcMar>
              <w:left w:w="120" w:type="dxa"/>
              <w:top w:w="80" w:type="dxa"/>
              <w:right w:w="120" w:type="dxa"/>
              <w:bottom w:w="80" w:type="dxa"/>
            </w:tcMar>
            <w:tcW w:w="7128" w:type="dxa"/>
            <w:vAlign w:val="center"/>
            <w:textDirection w:val="lrTb"/>
            <w:noWrap w:val="false"/>
          </w:tcPr>
          <w:p>
            <w:pPr>
              <w:pBdr/>
              <w:spacing w:after="0" w:line="252" w:lineRule="auto"/>
              <w:ind/>
              <w:jc w:val="left"/>
              <w:rPr/>
            </w:pPr>
            <w:r>
              <w:rPr>
                <w:rFonts w:ascii="Calibri" w:hAnsi="Calibri"/>
                <w:b w:val="0"/>
                <w:i w:val="0"/>
                <w:color w:val="111111"/>
                <w:sz w:val="19"/>
              </w:rPr>
              <w:t xml:space="preserve">Arsitektur dan desain eksperimen tersedia; hasil empiris final belum tersedia.</w:t>
            </w:r>
            <w:r/>
          </w:p>
        </w:tc>
      </w:tr>
      <w:tr>
        <w:trPr/>
        <w:tc>
          <w:tcPr>
            <w:tcBorders/>
            <w:tcMar>
              <w:left w:w="120" w:type="dxa"/>
              <w:top w:w="80" w:type="dxa"/>
              <w:right w:w="120" w:type="dxa"/>
              <w:bottom w:w="80" w:type="dxa"/>
            </w:tcMar>
            <w:tcW w:w="2232" w:type="dxa"/>
            <w:vAlign w:val="center"/>
            <w:textDirection w:val="lrTb"/>
            <w:noWrap w:val="false"/>
          </w:tcPr>
          <w:p>
            <w:pPr>
              <w:pBdr/>
              <w:spacing w:after="0" w:line="252" w:lineRule="auto"/>
              <w:ind/>
              <w:jc w:val="left"/>
              <w:rPr/>
            </w:pPr>
            <w:r>
              <w:rPr>
                <w:rFonts w:ascii="Calibri" w:hAnsi="Calibri"/>
                <w:b w:val="0"/>
                <w:i w:val="0"/>
                <w:color w:val="111111"/>
                <w:sz w:val="19"/>
              </w:rPr>
              <w:t xml:space="preserve">Luaran ilmiah</w:t>
            </w:r>
            <w:r/>
          </w:p>
        </w:tc>
        <w:tc>
          <w:tcPr>
            <w:tcBorders/>
            <w:tcMar>
              <w:left w:w="120" w:type="dxa"/>
              <w:top w:w="80" w:type="dxa"/>
              <w:right w:w="120" w:type="dxa"/>
              <w:bottom w:w="80" w:type="dxa"/>
            </w:tcMar>
            <w:tcW w:w="7128" w:type="dxa"/>
            <w:vAlign w:val="center"/>
            <w:textDirection w:val="lrTb"/>
            <w:noWrap w:val="false"/>
          </w:tcPr>
          <w:p>
            <w:pPr>
              <w:pBdr/>
              <w:spacing w:after="0" w:line="252" w:lineRule="auto"/>
              <w:ind/>
              <w:jc w:val="left"/>
              <w:rPr/>
            </w:pPr>
            <w:r>
              <w:rPr>
                <w:rFonts w:ascii="Calibri" w:hAnsi="Calibri"/>
                <w:b w:val="0"/>
                <w:i w:val="0"/>
                <w:color w:val="111111"/>
                <w:sz w:val="19"/>
              </w:rPr>
              <w:t xml:space="preserve">Pipeline: 7 published, 1 under review, 2 draft; terdapat pula manuskrip SVCC 74 halaman yang relevan langsung.</w:t>
            </w:r>
            <w:r/>
          </w:p>
        </w:tc>
      </w:tr>
      <w:tr>
        <w:trPr/>
        <w:tc>
          <w:tcPr>
            <w:tcBorders/>
            <w:tcMar>
              <w:left w:w="120" w:type="dxa"/>
              <w:top w:w="80" w:type="dxa"/>
              <w:right w:w="120" w:type="dxa"/>
              <w:bottom w:w="80" w:type="dxa"/>
            </w:tcMar>
            <w:tcW w:w="2232" w:type="dxa"/>
            <w:vAlign w:val="center"/>
            <w:textDirection w:val="lrTb"/>
            <w:noWrap w:val="false"/>
          </w:tcPr>
          <w:p>
            <w:pPr>
              <w:pBdr/>
              <w:spacing w:after="0" w:line="252" w:lineRule="auto"/>
              <w:ind/>
              <w:jc w:val="left"/>
              <w:rPr/>
            </w:pPr>
            <w:r>
              <w:rPr>
                <w:rFonts w:ascii="Calibri" w:hAnsi="Calibri"/>
                <w:b w:val="0"/>
                <w:i w:val="0"/>
                <w:color w:val="111111"/>
                <w:sz w:val="19"/>
              </w:rPr>
              <w:t xml:space="preserve">Keuangan</w:t>
            </w:r>
            <w:r/>
          </w:p>
        </w:tc>
        <w:tc>
          <w:tcPr>
            <w:tcBorders/>
            <w:tcMar>
              <w:left w:w="120" w:type="dxa"/>
              <w:top w:w="80" w:type="dxa"/>
              <w:right w:w="120" w:type="dxa"/>
              <w:bottom w:w="80" w:type="dxa"/>
            </w:tcMar>
            <w:tcW w:w="7128" w:type="dxa"/>
            <w:vAlign w:val="center"/>
            <w:textDirection w:val="lrTb"/>
            <w:noWrap w:val="false"/>
          </w:tcPr>
          <w:p>
            <w:pPr>
              <w:pBdr/>
              <w:spacing w:after="0" w:line="252" w:lineRule="auto"/>
              <w:ind/>
              <w:jc w:val="left"/>
              <w:rPr/>
            </w:pPr>
            <w:r>
              <w:rPr>
                <w:rFonts w:ascii="Calibri" w:hAnsi="Calibri"/>
                <w:b w:val="0"/>
                <w:i w:val="0"/>
                <w:color w:val="111111"/>
                <w:sz w:val="19"/>
              </w:rPr>
              <w:t xml:space="preserve">Realisasi Rp81.480.000 dari Rp150.000.000; serapan 54% menurut LPD (54,32% dari perhitungan).</w:t>
            </w:r>
            <w:r/>
          </w:p>
        </w:tc>
      </w:tr>
      <w:tr>
        <w:trPr/>
        <w:tc>
          <w:tcPr>
            <w:tcBorders/>
            <w:tcMar>
              <w:left w:w="120" w:type="dxa"/>
              <w:top w:w="80" w:type="dxa"/>
              <w:right w:w="120" w:type="dxa"/>
              <w:bottom w:w="80" w:type="dxa"/>
            </w:tcMar>
            <w:tcW w:w="2232" w:type="dxa"/>
            <w:vAlign w:val="center"/>
            <w:textDirection w:val="lrTb"/>
            <w:noWrap w:val="false"/>
          </w:tcPr>
          <w:p>
            <w:pPr>
              <w:pBdr/>
              <w:spacing w:after="0" w:line="252" w:lineRule="auto"/>
              <w:ind/>
              <w:jc w:val="left"/>
              <w:rPr/>
            </w:pPr>
            <w:r>
              <w:rPr>
                <w:rFonts w:ascii="Calibri" w:hAnsi="Calibri"/>
                <w:b w:val="0"/>
                <w:i w:val="0"/>
                <w:color w:val="111111"/>
                <w:sz w:val="19"/>
              </w:rPr>
              <w:t xml:space="preserve">Target kontraktual</w:t>
            </w:r>
            <w:r/>
          </w:p>
        </w:tc>
        <w:tc>
          <w:tcPr>
            <w:tcBorders/>
            <w:tcMar>
              <w:left w:w="120" w:type="dxa"/>
              <w:top w:w="80" w:type="dxa"/>
              <w:right w:w="120" w:type="dxa"/>
              <w:bottom w:w="80" w:type="dxa"/>
            </w:tcMar>
            <w:tcW w:w="7128" w:type="dxa"/>
            <w:vAlign w:val="center"/>
            <w:textDirection w:val="lrTb"/>
            <w:noWrap w:val="false"/>
          </w:tcPr>
          <w:p>
            <w:pPr>
              <w:pBdr/>
              <w:spacing w:after="0" w:line="252" w:lineRule="auto"/>
              <w:ind/>
              <w:jc w:val="left"/>
              <w:rPr/>
            </w:pPr>
            <w:r>
              <w:rPr>
                <w:rFonts w:ascii="Calibri" w:hAnsi="Calibri"/>
                <w:b w:val="0"/>
                <w:i w:val="0"/>
                <w:color w:val="111111"/>
                <w:sz w:val="19"/>
              </w:rPr>
              <w:t xml:space="preserve">Satu publikasi Q1; rencana submit 30 November 2026.</w:t>
            </w:r>
            <w:r/>
          </w:p>
        </w:tc>
      </w:tr>
    </w:tbl>
    <w:p>
      <w:pPr>
        <w:pBdr/>
        <w:spacing w:after="0"/>
        <w:ind/>
        <w:rPr/>
      </w:pPr>
      <w:r/>
      <w:r/>
    </w:p>
    <w:p>
      <w:pPr>
        <w:pStyle w:val="714"/>
        <w:pBdr/>
        <w:spacing/>
        <w:ind/>
        <w:rPr/>
      </w:pPr>
      <w:r>
        <w:t xml:space="preserve">2. Sasaran dan Posisi Terhadap Jadwal</w:t>
      </w:r>
      <w:r/>
    </w:p>
    <w:p>
      <w:pPr>
        <w:pBdr/>
        <w:spacing/>
        <w:ind/>
        <w:rPr/>
      </w:pPr>
      <w:r>
        <w:rPr>
          <w:rFonts w:ascii="Calibri" w:hAnsi="Calibri"/>
          <w:b w:val="0"/>
          <w:i w:val="0"/>
          <w:color w:val="111111"/>
          <w:sz w:val="22"/>
        </w:rPr>
        <w:t xml:space="preserve">Proposal menetapkan tiga tujuan: memformulasikan TISE 3.0</w:t>
      </w:r>
      <w:r>
        <w:rPr>
          <w:rFonts w:ascii="Calibri" w:hAnsi="Calibri"/>
          <w:b w:val="0"/>
          <w:i w:val="0"/>
          <w:color w:val="111111"/>
          <w:sz w:val="22"/>
        </w:rPr>
        <w:t xml:space="preserve">, membangun dan mensimulasikan purwarupa prompt-to-artifact, serta mempublikasikan hasil pada jurnal internasional Q1. Jadwal April-Desember menempatkan Agustus-September pada tahap Inner Right W-Model, yaitu persiapan validasi PICOC dan Digital Twin. [S1]</w:t>
      </w:r>
      <w:r/>
    </w:p>
    <w:tbl>
      <w:tblPr>
        <w:tblInd w:w="120" w:type="dxa"/>
        <w:tblW w:w="9360" w:type="dxa"/>
        <w:tblBorders>
          <w:top w:val="single" w:color="b7c0c8" w:sz="6" w:space="0"/>
          <w:left w:val="single" w:color="b7c0c8" w:sz="6" w:space="0"/>
          <w:bottom w:val="single" w:color="b7c0c8" w:sz="6" w:space="0"/>
          <w:right w:val="single" w:color="b7c0c8" w:sz="6" w:space="0"/>
          <w:insideH w:val="single" w:color="b7c0c8" w:sz="6" w:space="0"/>
          <w:insideV w:val="single" w:color="b7c0c8" w:sz="6" w:space="0"/>
        </w:tblBorders>
        <w:tblLayout w:type="fixed"/>
        <w:tblLook w:val="04A0" w:firstRow="1" w:lastRow="0" w:firstColumn="1" w:lastColumn="0" w:noHBand="0" w:noVBand="1"/>
      </w:tblPr>
      <w:tblGrid>
        <w:gridCol w:w="1800"/>
        <w:gridCol w:w="2232"/>
        <w:gridCol w:w="3960"/>
        <w:gridCol w:w="1368"/>
      </w:tblGrid>
      <w:tr>
        <w:trPr>
          <w:tblHeader/>
        </w:trPr>
        <w:tc>
          <w:tcPr>
            <w:shd w:val="clear" w:color="auto" w:fill="f2f4f7"/>
            <w:tcBorders/>
            <w:tcMar>
              <w:left w:w="120" w:type="dxa"/>
              <w:top w:w="80" w:type="dxa"/>
              <w:right w:w="120" w:type="dxa"/>
              <w:bottom w:w="80" w:type="dxa"/>
            </w:tcMar>
            <w:tcW w:w="1800" w:type="dxa"/>
            <w:vAlign w:val="center"/>
            <w:textDirection w:val="lrTb"/>
            <w:noWrap w:val="false"/>
          </w:tcPr>
          <w:p>
            <w:pPr>
              <w:pBdr/>
              <w:spacing w:after="0"/>
              <w:ind/>
              <w:jc w:val="center"/>
              <w:rPr/>
            </w:pPr>
            <w:r>
              <w:rPr>
                <w:rFonts w:ascii="Calibri" w:hAnsi="Calibri"/>
                <w:b/>
                <w:i w:val="0"/>
                <w:color w:val="1f4d78"/>
                <w:sz w:val="16"/>
              </w:rPr>
              <w:t xml:space="preserve">Paket Kerja</w:t>
            </w:r>
            <w:r/>
          </w:p>
        </w:tc>
        <w:tc>
          <w:tcPr>
            <w:shd w:val="clear" w:color="auto" w:fill="f2f4f7"/>
            <w:tcBorders/>
            <w:tcMar>
              <w:left w:w="120" w:type="dxa"/>
              <w:top w:w="80" w:type="dxa"/>
              <w:right w:w="120" w:type="dxa"/>
              <w:bottom w:w="80" w:type="dxa"/>
            </w:tcMar>
            <w:tcW w:w="2232" w:type="dxa"/>
            <w:vAlign w:val="center"/>
            <w:textDirection w:val="lrTb"/>
            <w:noWrap w:val="false"/>
          </w:tcPr>
          <w:p>
            <w:pPr>
              <w:pBdr/>
              <w:spacing w:after="0"/>
              <w:ind/>
              <w:jc w:val="center"/>
              <w:rPr/>
            </w:pPr>
            <w:r>
              <w:rPr>
                <w:rFonts w:ascii="Calibri" w:hAnsi="Calibri"/>
                <w:b/>
                <w:i w:val="0"/>
                <w:color w:val="1f4d78"/>
                <w:sz w:val="16"/>
              </w:rPr>
              <w:t xml:space="preserve">Target Proposal</w:t>
            </w:r>
            <w:r/>
          </w:p>
        </w:tc>
        <w:tc>
          <w:tcPr>
            <w:shd w:val="clear" w:color="auto" w:fill="f2f4f7"/>
            <w:tcBorders/>
            <w:tcMar>
              <w:left w:w="120" w:type="dxa"/>
              <w:top w:w="80" w:type="dxa"/>
              <w:right w:w="120" w:type="dxa"/>
              <w:bottom w:w="80" w:type="dxa"/>
            </w:tcMar>
            <w:tcW w:w="3960" w:type="dxa"/>
            <w:vAlign w:val="center"/>
            <w:textDirection w:val="lrTb"/>
            <w:noWrap w:val="false"/>
          </w:tcPr>
          <w:p>
            <w:pPr>
              <w:pBdr/>
              <w:spacing w:after="0"/>
              <w:ind/>
              <w:jc w:val="center"/>
              <w:rPr/>
            </w:pPr>
            <w:r>
              <w:rPr>
                <w:rFonts w:ascii="Calibri" w:hAnsi="Calibri"/>
                <w:b/>
                <w:i w:val="0"/>
                <w:color w:val="1f4d78"/>
                <w:sz w:val="16"/>
              </w:rPr>
              <w:t xml:space="preserve">Bukti Kemajuan</w:t>
            </w:r>
            <w:r/>
          </w:p>
        </w:tc>
        <w:tc>
          <w:tcPr>
            <w:shd w:val="clear" w:color="auto" w:fill="f2f4f7"/>
            <w:tcBorders/>
            <w:tcMar>
              <w:left w:w="120" w:type="dxa"/>
              <w:top w:w="80" w:type="dxa"/>
              <w:right w:w="120" w:type="dxa"/>
              <w:bottom w:w="80" w:type="dxa"/>
            </w:tcMar>
            <w:tcW w:w="1368" w:type="dxa"/>
            <w:vAlign w:val="center"/>
            <w:textDirection w:val="lrTb"/>
            <w:noWrap w:val="false"/>
          </w:tcPr>
          <w:p>
            <w:pPr>
              <w:pBdr/>
              <w:spacing w:after="0"/>
              <w:ind/>
              <w:jc w:val="center"/>
              <w:rPr/>
            </w:pPr>
            <w:r>
              <w:rPr>
                <w:rFonts w:ascii="Calibri" w:hAnsi="Calibri"/>
                <w:b/>
                <w:i w:val="0"/>
                <w:color w:val="1f4d78"/>
                <w:sz w:val="16"/>
              </w:rPr>
              <w:t xml:space="preserve">Status</w:t>
            </w:r>
            <w:r/>
          </w:p>
        </w:tc>
      </w:tr>
      <w:tr>
        <w:trPr/>
        <w:tc>
          <w:tcPr>
            <w:tcBorders/>
            <w:tcMar>
              <w:left w:w="120" w:type="dxa"/>
              <w:top w:w="80" w:type="dxa"/>
              <w:right w:w="120" w:type="dxa"/>
              <w:bottom w:w="80" w:type="dxa"/>
            </w:tcMar>
            <w:tcW w:w="1800" w:type="dxa"/>
            <w:vAlign w:val="center"/>
            <w:textDirection w:val="lrTb"/>
            <w:noWrap w:val="false"/>
          </w:tcPr>
          <w:p>
            <w:pPr>
              <w:pBdr/>
              <w:spacing w:after="0" w:line="252" w:lineRule="auto"/>
              <w:ind/>
              <w:jc w:val="center"/>
              <w:rPr/>
            </w:pPr>
            <w:r>
              <w:rPr>
                <w:rFonts w:ascii="Calibri" w:hAnsi="Calibri"/>
                <w:b w:val="0"/>
                <w:i w:val="0"/>
                <w:color w:val="111111"/>
                <w:sz w:val="16"/>
              </w:rPr>
              <w:t xml:space="preserve">Landasan teori dan meta-arsitektur</w:t>
            </w:r>
            <w:r/>
          </w:p>
        </w:tc>
        <w:tc>
          <w:tcPr>
            <w:tcBorders/>
            <w:tcMar>
              <w:left w:w="120" w:type="dxa"/>
              <w:top w:w="80" w:type="dxa"/>
              <w:right w:w="120" w:type="dxa"/>
              <w:bottom w:w="80" w:type="dxa"/>
            </w:tcMar>
            <w:tcW w:w="2232" w:type="dxa"/>
            <w:vAlign w:val="center"/>
            <w:textDirection w:val="lrTb"/>
            <w:noWrap w:val="false"/>
          </w:tcPr>
          <w:p>
            <w:pPr>
              <w:pBdr/>
              <w:spacing w:after="0" w:line="252" w:lineRule="auto"/>
              <w:ind/>
              <w:jc w:val="left"/>
              <w:rPr/>
            </w:pPr>
            <w:r>
              <w:rPr>
                <w:rFonts w:ascii="Calibri" w:hAnsi="Calibri"/>
                <w:b w:val="0"/>
                <w:i w:val="0"/>
                <w:color w:val="111111"/>
                <w:sz w:val="16"/>
              </w:rPr>
              <w:t xml:space="preserve">Formulasi TISE 3.0 sebagai meta-artefak berbasis MAS.</w:t>
            </w:r>
            <w:r/>
          </w:p>
        </w:tc>
        <w:tc>
          <w:tcPr>
            <w:tcBorders/>
            <w:tcMar>
              <w:left w:w="120" w:type="dxa"/>
              <w:top w:w="80" w:type="dxa"/>
              <w:right w:w="120" w:type="dxa"/>
              <w:bottom w:w="80" w:type="dxa"/>
            </w:tcMar>
            <w:tcW w:w="3960" w:type="dxa"/>
            <w:vAlign w:val="center"/>
            <w:textDirection w:val="lrTb"/>
            <w:noWrap w:val="false"/>
          </w:tcPr>
          <w:p>
            <w:pPr>
              <w:pBdr/>
              <w:spacing w:after="0" w:line="252" w:lineRule="auto"/>
              <w:ind/>
              <w:jc w:val="left"/>
              <w:rPr/>
            </w:pPr>
            <w:r>
              <w:rPr>
                <w:rFonts w:ascii="Calibri" w:hAnsi="Calibri"/>
                <w:b w:val="0"/>
                <w:i w:val="0"/>
                <w:color w:val="111111"/>
                <w:sz w:val="16"/>
              </w:rPr>
              <w:t xml:space="preserve">Manuskrip SVCC memuat prompt-to-artifact, ASTF, PSKVE/VOMR, tiga peran agen, dan W-Model. [S3]</w:t>
            </w:r>
            <w:r/>
          </w:p>
        </w:tc>
        <w:tc>
          <w:tcPr>
            <w:tcBorders/>
            <w:tcMar>
              <w:left w:w="120" w:type="dxa"/>
              <w:top w:w="80" w:type="dxa"/>
              <w:right w:w="120" w:type="dxa"/>
              <w:bottom w:w="80" w:type="dxa"/>
            </w:tcMar>
            <w:tcW w:w="1368" w:type="dxa"/>
            <w:vAlign w:val="center"/>
            <w:textDirection w:val="lrTb"/>
            <w:noWrap w:val="false"/>
          </w:tcPr>
          <w:p>
            <w:pPr>
              <w:pBdr/>
              <w:spacing w:after="0" w:line="252" w:lineRule="auto"/>
              <w:ind/>
              <w:jc w:val="left"/>
              <w:rPr/>
            </w:pPr>
            <w:r>
              <w:rPr>
                <w:rFonts w:ascii="Calibri" w:hAnsi="Calibri"/>
                <w:b w:val="0"/>
                <w:i w:val="0"/>
                <w:color w:val="111111"/>
                <w:sz w:val="16"/>
              </w:rPr>
              <w:t xml:space="preserve">Maju substansial</w:t>
            </w:r>
            <w:r/>
          </w:p>
        </w:tc>
      </w:tr>
      <w:tr>
        <w:trPr/>
        <w:tc>
          <w:tcPr>
            <w:tcBorders/>
            <w:tcMar>
              <w:left w:w="120" w:type="dxa"/>
              <w:top w:w="80" w:type="dxa"/>
              <w:right w:w="120" w:type="dxa"/>
              <w:bottom w:w="80" w:type="dxa"/>
            </w:tcMar>
            <w:tcW w:w="1800" w:type="dxa"/>
            <w:vAlign w:val="center"/>
            <w:textDirection w:val="lrTb"/>
            <w:noWrap w:val="false"/>
          </w:tcPr>
          <w:p>
            <w:pPr>
              <w:pBdr/>
              <w:spacing w:after="0" w:line="252" w:lineRule="auto"/>
              <w:ind/>
              <w:jc w:val="center"/>
              <w:rPr/>
            </w:pPr>
            <w:r>
              <w:rPr>
                <w:rFonts w:ascii="Calibri" w:hAnsi="Calibri"/>
                <w:b w:val="0"/>
                <w:i w:val="0"/>
                <w:color w:val="111111"/>
                <w:sz w:val="16"/>
              </w:rPr>
              <w:t xml:space="preserve">Purwarupa dan integrasi</w:t>
            </w:r>
            <w:r/>
          </w:p>
        </w:tc>
        <w:tc>
          <w:tcPr>
            <w:tcBorders/>
            <w:tcMar>
              <w:left w:w="120" w:type="dxa"/>
              <w:top w:w="80" w:type="dxa"/>
              <w:right w:w="120" w:type="dxa"/>
              <w:bottom w:w="80" w:type="dxa"/>
            </w:tcMar>
            <w:tcW w:w="2232" w:type="dxa"/>
            <w:vAlign w:val="center"/>
            <w:textDirection w:val="lrTb"/>
            <w:noWrap w:val="false"/>
          </w:tcPr>
          <w:p>
            <w:pPr>
              <w:pBdr/>
              <w:spacing w:after="0" w:line="252" w:lineRule="auto"/>
              <w:ind/>
              <w:jc w:val="left"/>
              <w:rPr/>
            </w:pPr>
            <w:r>
              <w:rPr>
                <w:rFonts w:ascii="Calibri" w:hAnsi="Calibri"/>
                <w:b w:val="0"/>
                <w:i w:val="0"/>
                <w:color w:val="111111"/>
                <w:sz w:val="16"/>
              </w:rPr>
              <w:t xml:space="preserve">Konversi prompt berentropi tinggi menuju spesifikasi SysML v2 dan artefak TISE 2.0.</w:t>
            </w:r>
            <w:r/>
          </w:p>
        </w:tc>
        <w:tc>
          <w:tcPr>
            <w:tcBorders/>
            <w:tcMar>
              <w:left w:w="120" w:type="dxa"/>
              <w:top w:w="80" w:type="dxa"/>
              <w:right w:w="120" w:type="dxa"/>
              <w:bottom w:w="80" w:type="dxa"/>
            </w:tcMar>
            <w:tcW w:w="3960" w:type="dxa"/>
            <w:vAlign w:val="center"/>
            <w:textDirection w:val="lrTb"/>
            <w:noWrap w:val="false"/>
          </w:tcPr>
          <w:p>
            <w:pPr>
              <w:pBdr/>
              <w:spacing w:after="0" w:line="252" w:lineRule="auto"/>
              <w:ind/>
              <w:jc w:val="left"/>
              <w:rPr/>
            </w:pPr>
            <w:r>
              <w:rPr>
                <w:rFonts w:ascii="Calibri" w:hAnsi="Calibri"/>
                <w:b w:val="0"/>
                <w:i w:val="0"/>
                <w:color w:val="111111"/>
                <w:sz w:val="16"/>
              </w:rPr>
              <w:t xml:space="preserve">SVCC mendeskripsikan paket Python modular, reasoner, coordinator, tiga pasar, provider LLM, serta alur eksekusi Mini-Lab. Kode tidak menjadi lampiran yang diperiksa dalam laporan ini. [S3]</w:t>
            </w:r>
            <w:r/>
          </w:p>
        </w:tc>
        <w:tc>
          <w:tcPr>
            <w:tcBorders/>
            <w:tcMar>
              <w:left w:w="120" w:type="dxa"/>
              <w:top w:w="80" w:type="dxa"/>
              <w:right w:w="120" w:type="dxa"/>
              <w:bottom w:w="80" w:type="dxa"/>
            </w:tcMar>
            <w:tcW w:w="1368" w:type="dxa"/>
            <w:vAlign w:val="center"/>
            <w:textDirection w:val="lrTb"/>
            <w:noWrap w:val="false"/>
          </w:tcPr>
          <w:p>
            <w:pPr>
              <w:pBdr/>
              <w:spacing w:after="0" w:line="252" w:lineRule="auto"/>
              <w:ind/>
              <w:jc w:val="left"/>
              <w:rPr/>
            </w:pPr>
            <w:r>
              <w:rPr>
                <w:rFonts w:ascii="Calibri" w:hAnsi="Calibri"/>
                <w:b w:val="0"/>
                <w:i w:val="0"/>
                <w:color w:val="111111"/>
                <w:sz w:val="16"/>
              </w:rPr>
              <w:t xml:space="preserve">Dalam proses</w:t>
            </w:r>
            <w:r/>
          </w:p>
        </w:tc>
      </w:tr>
      <w:tr>
        <w:trPr/>
        <w:tc>
          <w:tcPr>
            <w:tcBorders/>
            <w:tcMar>
              <w:left w:w="120" w:type="dxa"/>
              <w:top w:w="80" w:type="dxa"/>
              <w:right w:w="120" w:type="dxa"/>
              <w:bottom w:w="80" w:type="dxa"/>
            </w:tcMar>
            <w:tcW w:w="1800" w:type="dxa"/>
            <w:vAlign w:val="center"/>
            <w:textDirection w:val="lrTb"/>
            <w:noWrap w:val="false"/>
          </w:tcPr>
          <w:p>
            <w:pPr>
              <w:pBdr/>
              <w:spacing w:after="0" w:line="252" w:lineRule="auto"/>
              <w:ind/>
              <w:jc w:val="center"/>
              <w:rPr/>
            </w:pPr>
            <w:r>
              <w:rPr>
                <w:rFonts w:ascii="Calibri" w:hAnsi="Calibri"/>
                <w:b w:val="0"/>
                <w:i w:val="0"/>
                <w:color w:val="111111"/>
                <w:sz w:val="16"/>
              </w:rPr>
              <w:t xml:space="preserve">Validasi PICOC dan Digital Twin</w:t>
            </w:r>
            <w:r/>
          </w:p>
        </w:tc>
        <w:tc>
          <w:tcPr>
            <w:tcBorders/>
            <w:tcMar>
              <w:left w:w="120" w:type="dxa"/>
              <w:top w:w="80" w:type="dxa"/>
              <w:right w:w="120" w:type="dxa"/>
              <w:bottom w:w="80" w:type="dxa"/>
            </w:tcMar>
            <w:tcW w:w="2232" w:type="dxa"/>
            <w:vAlign w:val="center"/>
            <w:textDirection w:val="lrTb"/>
            <w:noWrap w:val="false"/>
          </w:tcPr>
          <w:p>
            <w:pPr>
              <w:pBdr/>
              <w:spacing w:after="0" w:line="252" w:lineRule="auto"/>
              <w:ind/>
              <w:jc w:val="left"/>
              <w:rPr/>
            </w:pPr>
            <w:r>
              <w:rPr>
                <w:rFonts w:ascii="Calibri" w:hAnsi="Calibri"/>
                <w:b w:val="0"/>
                <w:i w:val="0"/>
                <w:color w:val="111111"/>
                <w:sz w:val="16"/>
              </w:rPr>
              <w:t xml:space="preserve">Skenario, komparator, metrik, dan pengujian kompresi nilai serta resiliensi.</w:t>
            </w:r>
            <w:r/>
          </w:p>
        </w:tc>
        <w:tc>
          <w:tcPr>
            <w:tcBorders/>
            <w:tcMar>
              <w:left w:w="120" w:type="dxa"/>
              <w:top w:w="80" w:type="dxa"/>
              <w:right w:w="120" w:type="dxa"/>
              <w:bottom w:w="80" w:type="dxa"/>
            </w:tcMar>
            <w:tcW w:w="3960" w:type="dxa"/>
            <w:vAlign w:val="center"/>
            <w:textDirection w:val="lrTb"/>
            <w:noWrap w:val="false"/>
          </w:tcPr>
          <w:p>
            <w:pPr>
              <w:pBdr/>
              <w:spacing w:after="0" w:line="252" w:lineRule="auto"/>
              <w:ind/>
              <w:jc w:val="left"/>
              <w:rPr/>
            </w:pPr>
            <w:r>
              <w:rPr>
                <w:rFonts w:ascii="Calibri" w:hAnsi="Calibri"/>
                <w:b w:val="0"/>
                <w:i w:val="0"/>
                <w:color w:val="111111"/>
                <w:sz w:val="16"/>
              </w:rPr>
              <w:t xml:space="preserve">Desain eksperimen, pertanyaan validasi, skenario, dan artefak hasil sudah disiapkan. Bagian Results masih menyatakan data simulasi belum tersedia. [S3]</w:t>
            </w:r>
            <w:r/>
          </w:p>
        </w:tc>
        <w:tc>
          <w:tcPr>
            <w:tcBorders/>
            <w:tcMar>
              <w:left w:w="120" w:type="dxa"/>
              <w:top w:w="80" w:type="dxa"/>
              <w:right w:w="120" w:type="dxa"/>
              <w:bottom w:w="80" w:type="dxa"/>
            </w:tcMar>
            <w:tcW w:w="1368" w:type="dxa"/>
            <w:vAlign w:val="center"/>
            <w:textDirection w:val="lrTb"/>
            <w:noWrap w:val="false"/>
          </w:tcPr>
          <w:p>
            <w:pPr>
              <w:pBdr/>
              <w:spacing w:after="0" w:line="252" w:lineRule="auto"/>
              <w:ind/>
              <w:jc w:val="left"/>
              <w:rPr/>
            </w:pPr>
            <w:r>
              <w:rPr>
                <w:rFonts w:ascii="Calibri" w:hAnsi="Calibri"/>
                <w:b w:val="0"/>
                <w:i w:val="0"/>
                <w:color w:val="111111"/>
                <w:sz w:val="16"/>
              </w:rPr>
              <w:t xml:space="preserve">Siap validasi</w:t>
            </w:r>
            <w:r/>
          </w:p>
        </w:tc>
      </w:tr>
      <w:tr>
        <w:trPr/>
        <w:tc>
          <w:tcPr>
            <w:tcBorders/>
            <w:tcMar>
              <w:left w:w="120" w:type="dxa"/>
              <w:top w:w="80" w:type="dxa"/>
              <w:right w:w="120" w:type="dxa"/>
              <w:bottom w:w="80" w:type="dxa"/>
            </w:tcMar>
            <w:tcW w:w="1800" w:type="dxa"/>
            <w:vAlign w:val="center"/>
            <w:textDirection w:val="lrTb"/>
            <w:noWrap w:val="false"/>
          </w:tcPr>
          <w:p>
            <w:pPr>
              <w:pBdr/>
              <w:spacing w:after="0" w:line="252" w:lineRule="auto"/>
              <w:ind/>
              <w:jc w:val="center"/>
              <w:rPr/>
            </w:pPr>
            <w:r>
              <w:rPr>
                <w:rFonts w:ascii="Calibri" w:hAnsi="Calibri"/>
                <w:b w:val="0"/>
                <w:i w:val="0"/>
                <w:color w:val="111111"/>
                <w:sz w:val="16"/>
              </w:rPr>
              <w:t xml:space="preserve">Luaran publikasi Q1</w:t>
            </w:r>
            <w:r/>
          </w:p>
        </w:tc>
        <w:tc>
          <w:tcPr>
            <w:tcBorders/>
            <w:tcMar>
              <w:left w:w="120" w:type="dxa"/>
              <w:top w:w="80" w:type="dxa"/>
              <w:right w:w="120" w:type="dxa"/>
              <w:bottom w:w="80" w:type="dxa"/>
            </w:tcMar>
            <w:tcW w:w="2232" w:type="dxa"/>
            <w:vAlign w:val="center"/>
            <w:textDirection w:val="lrTb"/>
            <w:noWrap w:val="false"/>
          </w:tcPr>
          <w:p>
            <w:pPr>
              <w:pBdr/>
              <w:spacing w:after="0" w:line="252" w:lineRule="auto"/>
              <w:ind/>
              <w:jc w:val="left"/>
              <w:rPr/>
            </w:pPr>
            <w:r>
              <w:rPr>
                <w:rFonts w:ascii="Calibri" w:hAnsi="Calibri"/>
                <w:b w:val="0"/>
                <w:i w:val="0"/>
                <w:color w:val="111111"/>
                <w:sz w:val="16"/>
              </w:rPr>
              <w:t xml:space="preserve">Satu artikel Q1 dengan target submit 30 November 2026. [S1]</w:t>
            </w:r>
            <w:r/>
          </w:p>
        </w:tc>
        <w:tc>
          <w:tcPr>
            <w:tcBorders/>
            <w:tcMar>
              <w:left w:w="120" w:type="dxa"/>
              <w:top w:w="80" w:type="dxa"/>
              <w:right w:w="120" w:type="dxa"/>
              <w:bottom w:w="80" w:type="dxa"/>
            </w:tcMar>
            <w:tcW w:w="3960" w:type="dxa"/>
            <w:vAlign w:val="center"/>
            <w:textDirection w:val="lrTb"/>
            <w:noWrap w:val="false"/>
          </w:tcPr>
          <w:p>
            <w:pPr>
              <w:pBdr/>
              <w:spacing w:after="0" w:line="252" w:lineRule="auto"/>
              <w:ind/>
              <w:jc w:val="left"/>
              <w:rPr/>
            </w:pPr>
            <w:r>
              <w:rPr>
                <w:rFonts w:ascii="Calibri" w:hAnsi="Calibri"/>
                <w:b w:val="0"/>
                <w:i w:val="0"/>
                <w:color w:val="111111"/>
                <w:sz w:val="16"/>
              </w:rPr>
              <w:t xml:space="preserve">Pipeline mencatat 6 published, 1 under review, dan 2 draft. Manuskrip SVCC sangat relevan langsung, tetapi belum tercatat dengan target jurnal/status submit. [S2][S3]</w:t>
            </w:r>
            <w:r/>
          </w:p>
        </w:tc>
        <w:tc>
          <w:tcPr>
            <w:tcBorders/>
            <w:tcMar>
              <w:left w:w="120" w:type="dxa"/>
              <w:top w:w="80" w:type="dxa"/>
              <w:right w:w="120" w:type="dxa"/>
              <w:bottom w:w="80" w:type="dxa"/>
            </w:tcMar>
            <w:tcW w:w="1368" w:type="dxa"/>
            <w:vAlign w:val="center"/>
            <w:textDirection w:val="lrTb"/>
            <w:noWrap w:val="false"/>
          </w:tcPr>
          <w:p>
            <w:pPr>
              <w:pBdr/>
              <w:spacing w:after="0" w:line="252" w:lineRule="auto"/>
              <w:ind/>
              <w:jc w:val="left"/>
              <w:rPr/>
            </w:pPr>
            <w:r>
              <w:rPr>
                <w:rFonts w:ascii="Calibri" w:hAnsi="Calibri"/>
                <w:b w:val="0"/>
                <w:i w:val="0"/>
                <w:color w:val="111111"/>
                <w:sz w:val="16"/>
              </w:rPr>
              <w:t xml:space="preserve">Terlampaui</w:t>
            </w:r>
            <w:r/>
          </w:p>
        </w:tc>
      </w:tr>
    </w:tbl>
    <w:p>
      <w:pPr>
        <w:pBdr/>
        <w:spacing w:after="0"/>
        <w:ind/>
        <w:rPr/>
      </w:pPr>
      <w:r/>
      <w:r/>
    </w:p>
    <w:p>
      <w:pPr>
        <w:pBdr/>
        <w:spacing/>
        <w:ind/>
        <w:rPr/>
      </w:pPr>
      <w:r>
        <w:rPr>
          <w:rFonts w:ascii="Calibri" w:hAnsi="Calibri"/>
          <w:b w:val="0"/>
          <w:i/>
          <w:color w:val="111111"/>
          <w:sz w:val="22"/>
        </w:rPr>
        <w:t xml:space="preserve">Catatan penilaian: status di atas diturunkan dari dokumen, bukan dari pemeriksaan repositori kode atau log eksperimen. Klaim implementasi yang disebut dalam SVCC perlu dilengkapi dengan versi kode, konfigurasi, seed, dan keluaran run yang dibekukan.</w:t>
      </w:r>
      <w:r/>
    </w:p>
    <w:p>
      <w:pPr>
        <w:pStyle w:val="714"/>
        <w:pBdr/>
        <w:spacing/>
        <w:ind/>
        <w:rPr/>
      </w:pPr>
      <w:r>
        <w:t xml:space="preserve">3. Capaian Teknis dan Ilmiah</w:t>
      </w:r>
      <w:r/>
    </w:p>
    <w:p>
      <w:pPr>
        <w:pStyle w:val="715"/>
        <w:pBdr/>
        <w:spacing/>
        <w:ind/>
        <w:rPr/>
      </w:pPr>
      <w:r>
        <w:t xml:space="preserve">3.1 Meta-arsitektur TISE 3.0</w:t>
      </w:r>
      <w:r/>
    </w:p>
    <w:p>
      <w:pPr>
        <w:pBdr/>
        <w:spacing/>
        <w:ind/>
        <w:rPr/>
      </w:pPr>
      <w:r>
        <w:rPr>
          <w:rFonts w:ascii="Calibri" w:hAnsi="Calibri"/>
          <w:b w:val="0"/>
          <w:i w:val="0"/>
          <w:color w:val="111111"/>
          <w:sz w:val="22"/>
        </w:rPr>
        <w:t xml:space="preserve">Manuskrip Systemic Value Co-Creation (SVCC) mendefinisikan TISE 3.0 sebagai lapisan design-time yang menghasilkan artefak sosio-teknis</w:t>
      </w:r>
      <w:r>
        <w:rPr>
          <w:rFonts w:ascii="Calibri" w:hAnsi="Calibri"/>
          <w:b w:val="0"/>
          <w:i w:val="0"/>
          <w:color w:val="111111"/>
          <w:sz w:val="22"/>
        </w:rPr>
        <w:t xml:space="preserve"> TISE 2.0. Transformasi disusun dalam lima tahap: prompt pemangku kepentingan, dekomposisi ASTF, formalisasi PSKVE/VOMR, spesifikasi SysML v2, dan instansiasi artefak. Peran agen dipisahkan agar keluaran antara, konflik, dan pemeriksaan dapat diaudit. [S3]</w:t>
      </w:r>
      <w:r/>
    </w:p>
    <w:p>
      <w:pPr>
        <w:pStyle w:val="715"/>
        <w:pBdr/>
        <w:spacing/>
        <w:ind/>
        <w:rPr/>
      </w:pPr>
      <w:r>
        <w:t xml:space="preserve">3.2 Purwarupa dan Digital Twin Mini-Lab</w:t>
      </w:r>
      <w:r/>
    </w:p>
    <w:p>
      <w:pPr>
        <w:pBdr/>
        <w:spacing/>
        <w:ind/>
        <w:rPr/>
      </w:pPr>
      <w:r>
        <w:rPr>
          <w:rFonts w:ascii="Calibri" w:hAnsi="Calibri"/>
          <w:b w:val="0"/>
          <w:i w:val="0"/>
          <w:color w:val="111111"/>
          <w:sz w:val="22"/>
        </w:rPr>
        <w:t xml:space="preserve">SVCC mendeskripsikan paket Python berorientasi objek dengan Stakeholder, VOMR account, beberapa MIG reasoner, tiga coordinator, pasar Stock/Financial/Resource-Output, PSKVE Exchange Engine, Triune Intelligence, dan adapter penyedia LLM. Alur simula</w:t>
      </w:r>
      <w:r>
        <w:rPr>
          <w:rFonts w:ascii="Calibri" w:hAnsi="Calibri"/>
          <w:b w:val="0"/>
          <w:i w:val="0"/>
          <w:color w:val="111111"/>
          <w:sz w:val="22"/>
        </w:rPr>
        <w:t xml:space="preserve">si mencakup observasi, proposal MIG, koordinasi, pemeriksaan kendala, eksekusi, settlement, dan pencatatan EVI/resiliensi. Ini merupakan bukti kesiapan arsitektural dan implementatif, tetapi laporan ini belum memverifikasi berkas kode secara terpisah. [S3]</w:t>
      </w:r>
      <w:r/>
    </w:p>
    <w:p>
      <w:pPr>
        <w:pStyle w:val="715"/>
        <w:pBdr/>
        <w:spacing/>
        <w:ind/>
        <w:rPr/>
      </w:pPr>
      <w:r>
        <w:t xml:space="preserve">3.3 Validasi dan batas klaim</w:t>
      </w:r>
      <w:r/>
    </w:p>
    <w:p>
      <w:pPr>
        <w:pBdr/>
        <w:spacing/>
        <w:ind/>
        <w:rPr/>
      </w:pPr>
      <w:r>
        <w:rPr>
          <w:rFonts w:ascii="Calibri" w:hAnsi="Calibri"/>
          <w:b w:val="0"/>
          <w:i w:val="0"/>
          <w:color w:val="111111"/>
          <w:sz w:val="22"/>
        </w:rPr>
        <w:t xml:space="preserve">Desain eksperimen membedakan efek penalaran stakeholder dari efek koordinasi dan membandingkan baseline, fixed-policy SOTA, serta adaptive TISE. Pertanyaan validasi, skenario normal/gangguan, metrik</w:t>
      </w:r>
      <w:r>
        <w:rPr>
          <w:rFonts w:ascii="Calibri" w:hAnsi="Calibri"/>
          <w:b w:val="0"/>
          <w:i w:val="0"/>
          <w:color w:val="111111"/>
          <w:sz w:val="22"/>
        </w:rPr>
        <w:t xml:space="preserve">, dan format tabel hasil telah tersedia. Namun, bagian Results masih berupa kerangka yang akan diisi setelah Mini-Lab dijalankan; karena itu belum layak menyatakan peningkatan performa, resiliensi, atau efisiensi kompresi nilai sebagai temuan empiris. [S3]</w:t>
      </w:r>
      <w:r/>
    </w:p>
    <w:p>
      <w:pPr>
        <w:pStyle w:val="714"/>
        <w:pBdr/>
        <w:spacing/>
        <w:ind/>
        <w:rPr/>
      </w:pPr>
      <w:r>
        <w:t xml:space="preserve">4. Luaran Publikasi</w:t>
      </w:r>
      <w:r/>
    </w:p>
    <w:p>
      <w:pPr>
        <w:pBdr/>
        <w:spacing/>
        <w:ind/>
        <w:rPr/>
      </w:pPr>
      <w:r>
        <w:rPr>
          <w:rFonts w:ascii="Calibri" w:hAnsi="Calibri"/>
          <w:b w:val="0"/>
          <w:i w:val="0"/>
          <w:color w:val="111111"/>
          <w:sz w:val="22"/>
        </w:rPr>
        <w:t xml:space="preserve">Dokumen Publication Pipeline 2026 mencatat sepuluh luaran: tujuh published, satu under review, dan dua draft. Dari tujuh yang published, dua ditandai Q1, dua Q2/Q3, dua Q3, dan satu prosiding non-Q. [S2]</w:t>
      </w:r>
      <w:r/>
    </w:p>
    <w:tbl>
      <w:tblPr>
        <w:tblInd w:w="120" w:type="dxa"/>
        <w:tblW w:w="9360" w:type="dxa"/>
        <w:tblBorders>
          <w:top w:val="single" w:color="b7c0c8" w:sz="6" w:space="0"/>
          <w:left w:val="single" w:color="b7c0c8" w:sz="6" w:space="0"/>
          <w:bottom w:val="single" w:color="b7c0c8" w:sz="6" w:space="0"/>
          <w:right w:val="single" w:color="b7c0c8" w:sz="6" w:space="0"/>
          <w:insideH w:val="single" w:color="b7c0c8" w:sz="6" w:space="0"/>
          <w:insideV w:val="single" w:color="b7c0c8" w:sz="6" w:space="0"/>
        </w:tblBorders>
        <w:tblLayout w:type="fixed"/>
        <w:tblLook w:val="04A0" w:firstRow="1" w:lastRow="0" w:firstColumn="1" w:lastColumn="0" w:noHBand="0" w:noVBand="1"/>
      </w:tblPr>
      <w:tblGrid>
        <w:gridCol w:w="1944"/>
        <w:gridCol w:w="1080"/>
        <w:gridCol w:w="6336"/>
      </w:tblGrid>
      <w:tr>
        <w:trPr>
          <w:tblHeader/>
        </w:trPr>
        <w:tc>
          <w:tcPr>
            <w:shd w:val="clear" w:color="auto" w:fill="e8eef5"/>
            <w:tcBorders/>
            <w:tcMar>
              <w:left w:w="120" w:type="dxa"/>
              <w:top w:w="80" w:type="dxa"/>
              <w:right w:w="120" w:type="dxa"/>
              <w:bottom w:w="80" w:type="dxa"/>
            </w:tcMar>
            <w:tcW w:w="1944" w:type="dxa"/>
            <w:vAlign w:val="center"/>
            <w:textDirection w:val="lrTb"/>
            <w:noWrap w:val="false"/>
          </w:tcPr>
          <w:p>
            <w:pPr>
              <w:pBdr/>
              <w:spacing w:after="0"/>
              <w:ind/>
              <w:jc w:val="center"/>
              <w:rPr/>
            </w:pPr>
            <w:r>
              <w:rPr>
                <w:rFonts w:ascii="Calibri" w:hAnsi="Calibri"/>
                <w:b/>
                <w:i w:val="0"/>
                <w:color w:val="1f4d78"/>
                <w:sz w:val="19"/>
              </w:rPr>
              <w:t xml:space="preserve">Status</w:t>
            </w:r>
            <w:r/>
          </w:p>
        </w:tc>
        <w:tc>
          <w:tcPr>
            <w:shd w:val="clear" w:color="auto" w:fill="e8eef5"/>
            <w:tcBorders/>
            <w:tcMar>
              <w:left w:w="120" w:type="dxa"/>
              <w:top w:w="80" w:type="dxa"/>
              <w:right w:w="120" w:type="dxa"/>
              <w:bottom w:w="80" w:type="dxa"/>
            </w:tcMar>
            <w:tcW w:w="1080" w:type="dxa"/>
            <w:vAlign w:val="center"/>
            <w:textDirection w:val="lrTb"/>
            <w:noWrap w:val="false"/>
          </w:tcPr>
          <w:p>
            <w:pPr>
              <w:pBdr/>
              <w:spacing w:after="0"/>
              <w:ind/>
              <w:jc w:val="center"/>
              <w:rPr/>
            </w:pPr>
            <w:r>
              <w:rPr>
                <w:rFonts w:ascii="Calibri" w:hAnsi="Calibri"/>
                <w:b/>
                <w:i w:val="0"/>
                <w:color w:val="1f4d78"/>
                <w:sz w:val="19"/>
              </w:rPr>
              <w:t xml:space="preserve">Jumlah</w:t>
            </w:r>
            <w:r/>
          </w:p>
        </w:tc>
        <w:tc>
          <w:tcPr>
            <w:shd w:val="clear" w:color="auto" w:fill="e8eef5"/>
            <w:tcBorders/>
            <w:tcMar>
              <w:left w:w="120" w:type="dxa"/>
              <w:top w:w="80" w:type="dxa"/>
              <w:right w:w="120" w:type="dxa"/>
              <w:bottom w:w="80" w:type="dxa"/>
            </w:tcMar>
            <w:tcW w:w="6336" w:type="dxa"/>
            <w:vAlign w:val="center"/>
            <w:textDirection w:val="lrTb"/>
            <w:noWrap w:val="false"/>
          </w:tcPr>
          <w:p>
            <w:pPr>
              <w:pBdr/>
              <w:spacing w:after="0"/>
              <w:ind/>
              <w:jc w:val="center"/>
              <w:rPr/>
            </w:pPr>
            <w:r>
              <w:rPr>
                <w:rFonts w:ascii="Calibri" w:hAnsi="Calibri"/>
                <w:b/>
                <w:i w:val="0"/>
                <w:color w:val="1f4d78"/>
                <w:sz w:val="19"/>
              </w:rPr>
              <w:t xml:space="preserve">Rincian</w:t>
            </w:r>
            <w:r/>
          </w:p>
        </w:tc>
      </w:tr>
      <w:tr>
        <w:trPr/>
        <w:tc>
          <w:tcPr>
            <w:tcBorders/>
            <w:tcMar>
              <w:left w:w="120" w:type="dxa"/>
              <w:top w:w="80" w:type="dxa"/>
              <w:right w:w="120" w:type="dxa"/>
              <w:bottom w:w="80" w:type="dxa"/>
            </w:tcMar>
            <w:tcW w:w="1944" w:type="dxa"/>
            <w:vAlign w:val="center"/>
            <w:textDirection w:val="lrTb"/>
            <w:noWrap w:val="false"/>
          </w:tcPr>
          <w:p>
            <w:pPr>
              <w:pBdr/>
              <w:spacing w:after="0" w:line="252" w:lineRule="auto"/>
              <w:ind/>
              <w:jc w:val="left"/>
              <w:rPr/>
            </w:pPr>
            <w:r>
              <w:rPr>
                <w:rFonts w:ascii="Calibri" w:hAnsi="Calibri"/>
                <w:b w:val="0"/>
                <w:i w:val="0"/>
                <w:color w:val="111111"/>
                <w:sz w:val="19"/>
              </w:rPr>
              <w:t xml:space="preserve">Published</w:t>
            </w:r>
            <w:r/>
          </w:p>
        </w:tc>
        <w:tc>
          <w:tcPr>
            <w:tcBorders/>
            <w:tcMar>
              <w:left w:w="120" w:type="dxa"/>
              <w:top w:w="80" w:type="dxa"/>
              <w:right w:w="120" w:type="dxa"/>
              <w:bottom w:w="80" w:type="dxa"/>
            </w:tcMar>
            <w:tcW w:w="1080" w:type="dxa"/>
            <w:vAlign w:val="center"/>
            <w:textDirection w:val="lrTb"/>
            <w:noWrap w:val="false"/>
          </w:tcPr>
          <w:p>
            <w:pPr>
              <w:pBdr/>
              <w:spacing w:after="0" w:line="252" w:lineRule="auto"/>
              <w:ind/>
              <w:jc w:val="left"/>
              <w:rPr/>
            </w:pPr>
            <w:r>
              <w:rPr>
                <w:rFonts w:ascii="Calibri" w:hAnsi="Calibri"/>
                <w:b w:val="0"/>
                <w:i w:val="0"/>
                <w:color w:val="111111"/>
                <w:sz w:val="19"/>
              </w:rPr>
              <w:t xml:space="preserve">6</w:t>
            </w:r>
            <w:r/>
          </w:p>
        </w:tc>
        <w:tc>
          <w:tcPr>
            <w:tcBorders/>
            <w:tcMar>
              <w:left w:w="120" w:type="dxa"/>
              <w:top w:w="80" w:type="dxa"/>
              <w:right w:w="120" w:type="dxa"/>
              <w:bottom w:w="80" w:type="dxa"/>
            </w:tcMar>
            <w:tcW w:w="6336" w:type="dxa"/>
            <w:vAlign w:val="center"/>
            <w:textDirection w:val="lrTb"/>
            <w:noWrap w:val="false"/>
          </w:tcPr>
          <w:p>
            <w:pPr>
              <w:pBdr/>
              <w:spacing w:after="0" w:line="252" w:lineRule="auto"/>
              <w:ind/>
              <w:jc w:val="left"/>
              <w:rPr/>
            </w:pPr>
            <w:r>
              <w:rPr>
                <w:rFonts w:ascii="Calibri" w:hAnsi="Calibri"/>
                <w:b w:val="0"/>
                <w:i w:val="0"/>
                <w:color w:val="111111"/>
                <w:sz w:val="19"/>
              </w:rPr>
              <w:t xml:space="preserve">1 Q1; 2 Q2/Q3; 2 Q3; 1 prosiding non-Q</w:t>
            </w:r>
            <w:r/>
          </w:p>
        </w:tc>
      </w:tr>
      <w:tr>
        <w:trPr/>
        <w:tc>
          <w:tcPr>
            <w:tcBorders/>
            <w:tcMar>
              <w:left w:w="120" w:type="dxa"/>
              <w:top w:w="80" w:type="dxa"/>
              <w:right w:w="120" w:type="dxa"/>
              <w:bottom w:w="80" w:type="dxa"/>
            </w:tcMar>
            <w:tcW w:w="1944" w:type="dxa"/>
            <w:vAlign w:val="center"/>
            <w:textDirection w:val="lrTb"/>
            <w:noWrap w:val="false"/>
          </w:tcPr>
          <w:p>
            <w:pPr>
              <w:pBdr/>
              <w:spacing w:after="0" w:line="252" w:lineRule="auto"/>
              <w:ind/>
              <w:jc w:val="left"/>
              <w:rPr/>
            </w:pPr>
            <w:r>
              <w:rPr>
                <w:rFonts w:ascii="Calibri" w:hAnsi="Calibri"/>
                <w:b w:val="0"/>
                <w:i w:val="0"/>
                <w:color w:val="111111"/>
                <w:sz w:val="19"/>
              </w:rPr>
              <w:t xml:space="preserve">Under review</w:t>
            </w:r>
            <w:r/>
          </w:p>
        </w:tc>
        <w:tc>
          <w:tcPr>
            <w:tcBorders/>
            <w:tcMar>
              <w:left w:w="120" w:type="dxa"/>
              <w:top w:w="80" w:type="dxa"/>
              <w:right w:w="120" w:type="dxa"/>
              <w:bottom w:w="80" w:type="dxa"/>
            </w:tcMar>
            <w:tcW w:w="1080" w:type="dxa"/>
            <w:vAlign w:val="center"/>
            <w:textDirection w:val="lrTb"/>
            <w:noWrap w:val="false"/>
          </w:tcPr>
          <w:p>
            <w:pPr>
              <w:pBdr/>
              <w:spacing w:after="0" w:line="252" w:lineRule="auto"/>
              <w:ind/>
              <w:jc w:val="left"/>
              <w:rPr/>
            </w:pPr>
            <w:r>
              <w:rPr>
                <w:rFonts w:ascii="Calibri" w:hAnsi="Calibri"/>
                <w:b w:val="0"/>
                <w:i w:val="0"/>
                <w:color w:val="111111"/>
                <w:sz w:val="19"/>
              </w:rPr>
              <w:t xml:space="preserve">1</w:t>
            </w:r>
            <w:r/>
          </w:p>
        </w:tc>
        <w:tc>
          <w:tcPr>
            <w:tcBorders/>
            <w:tcMar>
              <w:left w:w="120" w:type="dxa"/>
              <w:top w:w="80" w:type="dxa"/>
              <w:right w:w="120" w:type="dxa"/>
              <w:bottom w:w="80" w:type="dxa"/>
            </w:tcMar>
            <w:tcW w:w="6336" w:type="dxa"/>
            <w:vAlign w:val="center"/>
            <w:textDirection w:val="lrTb"/>
            <w:noWrap w:val="false"/>
          </w:tcPr>
          <w:p>
            <w:pPr>
              <w:pBdr/>
              <w:spacing w:after="0" w:line="252" w:lineRule="auto"/>
              <w:ind/>
              <w:jc w:val="left"/>
              <w:rPr/>
            </w:pPr>
            <w:r>
              <w:rPr>
                <w:rFonts w:ascii="Calibri" w:hAnsi="Calibri"/>
                <w:b w:val="0"/>
                <w:i w:val="0"/>
                <w:color w:val="111111"/>
                <w:sz w:val="19"/>
              </w:rPr>
              <w:t xml:space="preserve">Q1 - IEEE Transactions on Education</w:t>
            </w:r>
            <w:r/>
          </w:p>
        </w:tc>
      </w:tr>
      <w:tr>
        <w:trPr/>
        <w:tc>
          <w:tcPr>
            <w:tcBorders/>
            <w:tcMar>
              <w:left w:w="120" w:type="dxa"/>
              <w:top w:w="80" w:type="dxa"/>
              <w:right w:w="120" w:type="dxa"/>
              <w:bottom w:w="80" w:type="dxa"/>
            </w:tcMar>
            <w:tcW w:w="1944" w:type="dxa"/>
            <w:vAlign w:val="center"/>
            <w:textDirection w:val="lrTb"/>
            <w:noWrap w:val="false"/>
          </w:tcPr>
          <w:p>
            <w:pPr>
              <w:pBdr/>
              <w:spacing w:after="0" w:line="252" w:lineRule="auto"/>
              <w:ind/>
              <w:jc w:val="left"/>
              <w:rPr/>
            </w:pPr>
            <w:r>
              <w:rPr>
                <w:rFonts w:ascii="Calibri" w:hAnsi="Calibri"/>
                <w:b w:val="0"/>
                <w:i w:val="0"/>
                <w:color w:val="111111"/>
                <w:sz w:val="19"/>
              </w:rPr>
              <w:t xml:space="preserve">Draft</w:t>
            </w:r>
            <w:r/>
          </w:p>
        </w:tc>
        <w:tc>
          <w:tcPr>
            <w:tcBorders/>
            <w:tcMar>
              <w:left w:w="120" w:type="dxa"/>
              <w:top w:w="80" w:type="dxa"/>
              <w:right w:w="120" w:type="dxa"/>
              <w:bottom w:w="80" w:type="dxa"/>
            </w:tcMar>
            <w:tcW w:w="1080" w:type="dxa"/>
            <w:vAlign w:val="center"/>
            <w:textDirection w:val="lrTb"/>
            <w:noWrap w:val="false"/>
          </w:tcPr>
          <w:p>
            <w:pPr>
              <w:pBdr/>
              <w:spacing w:after="0" w:line="252" w:lineRule="auto"/>
              <w:ind/>
              <w:jc w:val="left"/>
              <w:rPr/>
            </w:pPr>
            <w:r>
              <w:rPr>
                <w:rFonts w:ascii="Calibri" w:hAnsi="Calibri"/>
                <w:b w:val="0"/>
                <w:i w:val="0"/>
                <w:color w:val="111111"/>
                <w:sz w:val="19"/>
              </w:rPr>
              <w:t xml:space="preserve">2</w:t>
            </w:r>
            <w:r/>
          </w:p>
        </w:tc>
        <w:tc>
          <w:tcPr>
            <w:tcBorders/>
            <w:tcMar>
              <w:left w:w="120" w:type="dxa"/>
              <w:top w:w="80" w:type="dxa"/>
              <w:right w:w="120" w:type="dxa"/>
              <w:bottom w:w="80" w:type="dxa"/>
            </w:tcMar>
            <w:tcW w:w="6336" w:type="dxa"/>
            <w:vAlign w:val="center"/>
            <w:textDirection w:val="lrTb"/>
            <w:noWrap w:val="false"/>
          </w:tcPr>
          <w:p>
            <w:pPr>
              <w:pBdr/>
              <w:spacing w:after="0" w:line="252" w:lineRule="auto"/>
              <w:ind/>
              <w:jc w:val="left"/>
              <w:rPr/>
            </w:pPr>
            <w:r>
              <w:rPr>
                <w:rFonts w:ascii="Calibri" w:hAnsi="Calibri"/>
                <w:b w:val="0"/>
                <w:i w:val="0"/>
                <w:color w:val="111111"/>
                <w:sz w:val="19"/>
              </w:rPr>
              <w:t xml:space="preserve">Keduanya diarahkan ke jurnal Q1 IEEE</w:t>
            </w:r>
            <w:r/>
          </w:p>
        </w:tc>
      </w:tr>
    </w:tbl>
    <w:p>
      <w:pPr>
        <w:pBdr/>
        <w:spacing w:after="0"/>
        <w:ind/>
        <w:rPr/>
      </w:pPr>
      <w:r/>
      <w:r/>
    </w:p>
    <w:p>
      <w:pPr>
        <w:pBdr/>
        <w:spacing/>
        <w:ind/>
        <w:rPr/>
      </w:pPr>
      <w:r>
        <w:rPr>
          <w:rFonts w:ascii="Calibri" w:hAnsi="Calibri"/>
          <w:b w:val="0"/>
          <w:i w:val="0"/>
          <w:color w:val="111111"/>
          <w:sz w:val="22"/>
        </w:rPr>
        <w:t xml:space="preserve">Keses</w:t>
      </w:r>
      <w:r>
        <w:rPr>
          <w:rFonts w:ascii="Calibri" w:hAnsi="Calibri"/>
          <w:b w:val="0"/>
          <w:i w:val="0"/>
          <w:color w:val="111111"/>
          <w:sz w:val="22"/>
        </w:rPr>
        <w:t xml:space="preserve">uaian dengan target proposal: target kontraktual adalah satu artikel bertopik TISE 3.0 untuk jurnal Q1 dengan rencana submit 30 November 2026. Tidak ada entri pipeline yang sama persis dengan judul target. Manuskrip SVCC memiliki keterkaitan langsung dan i</w:t>
      </w:r>
      <w:r>
        <w:rPr>
          <w:rFonts w:ascii="Calibri" w:hAnsi="Calibri"/>
          <w:b w:val="0"/>
          <w:i w:val="0"/>
          <w:color w:val="111111"/>
          <w:sz w:val="22"/>
        </w:rPr>
        <w:t xml:space="preserve">si yang memadai sebagai basis artikel, tetapi status jurnal/submit belum dinyatakan dan bagian hasil masih menunggu data. Oleh sebab itu target publikasi proyek dinilai terlampaui, meskipun pipeline publikasi peneliti secara umum kuat. [S1][S2][S3]</w:t>
      </w:r>
      <w:r/>
    </w:p>
    <w:p>
      <w:pPr>
        <w:pBdr/>
        <w:spacing/>
        <w:ind/>
        <w:rPr/>
      </w:pPr>
      <w:r>
        <w:br w:type="page" w:clear="all"/>
      </w:r>
      <w:r/>
    </w:p>
    <w:p>
      <w:pPr>
        <w:pStyle w:val="715"/>
        <w:pBdr/>
        <w:spacing/>
        <w:ind/>
        <w:rPr/>
      </w:pPr>
      <w:r>
        <w:t xml:space="preserve">4.1 Daftar Publication Pipeline 2026</w:t>
      </w:r>
      <w:r/>
    </w:p>
    <w:tbl>
      <w:tblPr>
        <w:tblInd w:w="120" w:type="dxa"/>
        <w:tblW w:w="9360" w:type="dxa"/>
        <w:tblBorders>
          <w:top w:val="single" w:color="b7c0c8" w:sz="6" w:space="0"/>
          <w:left w:val="single" w:color="b7c0c8" w:sz="6" w:space="0"/>
          <w:bottom w:val="single" w:color="b7c0c8" w:sz="6" w:space="0"/>
          <w:right w:val="single" w:color="b7c0c8" w:sz="6" w:space="0"/>
          <w:insideH w:val="single" w:color="b7c0c8" w:sz="6" w:space="0"/>
          <w:insideV w:val="single" w:color="b7c0c8" w:sz="6" w:space="0"/>
        </w:tblBorders>
        <w:tblLayout w:type="fixed"/>
        <w:tblLook w:val="04A0" w:firstRow="1" w:lastRow="0" w:firstColumn="1" w:lastColumn="0" w:noHBand="0" w:noVBand="1"/>
      </w:tblPr>
      <w:tblGrid>
        <w:gridCol w:w="504"/>
        <w:gridCol w:w="4392"/>
        <w:gridCol w:w="2088"/>
        <w:gridCol w:w="936"/>
        <w:gridCol w:w="1440"/>
      </w:tblGrid>
      <w:tr>
        <w:trPr>
          <w:tblHeader/>
        </w:trPr>
        <w:tc>
          <w:tcPr>
            <w:shd w:val="clear" w:color="auto" w:fill="f2f4f7"/>
            <w:tcBorders/>
            <w:tcMar>
              <w:left w:w="120" w:type="dxa"/>
              <w:top w:w="80" w:type="dxa"/>
              <w:right w:w="120" w:type="dxa"/>
              <w:bottom w:w="80" w:type="dxa"/>
            </w:tcMar>
            <w:tcW w:w="504" w:type="dxa"/>
            <w:vAlign w:val="center"/>
            <w:textDirection w:val="lrTb"/>
            <w:noWrap w:val="false"/>
          </w:tcPr>
          <w:p>
            <w:pPr>
              <w:pBdr/>
              <w:spacing w:after="0"/>
              <w:ind/>
              <w:jc w:val="center"/>
              <w:rPr/>
            </w:pPr>
            <w:r>
              <w:rPr>
                <w:rFonts w:ascii="Calibri" w:hAnsi="Calibri"/>
                <w:b/>
                <w:i w:val="0"/>
                <w:color w:val="1f4d78"/>
                <w:sz w:val="16"/>
              </w:rPr>
              <w:t xml:space="preserve">No</w:t>
            </w:r>
            <w:r/>
          </w:p>
        </w:tc>
        <w:tc>
          <w:tcPr>
            <w:shd w:val="clear" w:color="auto" w:fill="f2f4f7"/>
            <w:tcBorders/>
            <w:tcMar>
              <w:left w:w="120" w:type="dxa"/>
              <w:top w:w="80" w:type="dxa"/>
              <w:right w:w="120" w:type="dxa"/>
              <w:bottom w:w="80" w:type="dxa"/>
            </w:tcMar>
            <w:tcW w:w="4392" w:type="dxa"/>
            <w:vAlign w:val="center"/>
            <w:textDirection w:val="lrTb"/>
            <w:noWrap w:val="false"/>
          </w:tcPr>
          <w:p>
            <w:pPr>
              <w:pBdr/>
              <w:spacing w:after="0"/>
              <w:ind/>
              <w:jc w:val="center"/>
              <w:rPr/>
            </w:pPr>
            <w:r>
              <w:rPr>
                <w:rFonts w:ascii="Calibri" w:hAnsi="Calibri"/>
                <w:b/>
                <w:i w:val="0"/>
                <w:color w:val="1f4d78"/>
                <w:sz w:val="16"/>
              </w:rPr>
              <w:t xml:space="preserve">Judul</w:t>
            </w:r>
            <w:r/>
          </w:p>
        </w:tc>
        <w:tc>
          <w:tcPr>
            <w:shd w:val="clear" w:color="auto" w:fill="f2f4f7"/>
            <w:tcBorders/>
            <w:tcMar>
              <w:left w:w="120" w:type="dxa"/>
              <w:top w:w="80" w:type="dxa"/>
              <w:right w:w="120" w:type="dxa"/>
              <w:bottom w:w="80" w:type="dxa"/>
            </w:tcMar>
            <w:tcW w:w="2088" w:type="dxa"/>
            <w:vAlign w:val="center"/>
            <w:textDirection w:val="lrTb"/>
            <w:noWrap w:val="false"/>
          </w:tcPr>
          <w:p>
            <w:pPr>
              <w:pBdr/>
              <w:spacing w:after="0"/>
              <w:ind/>
              <w:jc w:val="center"/>
              <w:rPr/>
            </w:pPr>
            <w:r>
              <w:rPr>
                <w:rFonts w:ascii="Calibri" w:hAnsi="Calibri"/>
                <w:b/>
                <w:i w:val="0"/>
                <w:color w:val="1f4d78"/>
                <w:sz w:val="16"/>
              </w:rPr>
              <w:t xml:space="preserve">Target jurnal/forum</w:t>
            </w:r>
            <w:r/>
          </w:p>
        </w:tc>
        <w:tc>
          <w:tcPr>
            <w:shd w:val="clear" w:color="auto" w:fill="f2f4f7"/>
            <w:tcBorders/>
            <w:tcMar>
              <w:left w:w="120" w:type="dxa"/>
              <w:top w:w="80" w:type="dxa"/>
              <w:right w:w="120" w:type="dxa"/>
              <w:bottom w:w="80" w:type="dxa"/>
            </w:tcMar>
            <w:tcW w:w="936" w:type="dxa"/>
            <w:vAlign w:val="center"/>
            <w:textDirection w:val="lrTb"/>
            <w:noWrap w:val="false"/>
          </w:tcPr>
          <w:p>
            <w:pPr>
              <w:pBdr/>
              <w:spacing w:after="0"/>
              <w:ind/>
              <w:jc w:val="center"/>
              <w:rPr/>
            </w:pPr>
            <w:r>
              <w:rPr>
                <w:rFonts w:ascii="Calibri" w:hAnsi="Calibri"/>
                <w:b/>
                <w:i w:val="0"/>
                <w:color w:val="1f4d78"/>
                <w:sz w:val="16"/>
              </w:rPr>
              <w:t xml:space="preserve">Kuartil</w:t>
            </w:r>
            <w:r/>
          </w:p>
        </w:tc>
        <w:tc>
          <w:tcPr>
            <w:shd w:val="clear" w:color="auto" w:fill="f2f4f7"/>
            <w:tcBorders/>
            <w:tcMar>
              <w:left w:w="120" w:type="dxa"/>
              <w:top w:w="80" w:type="dxa"/>
              <w:right w:w="120" w:type="dxa"/>
              <w:bottom w:w="80" w:type="dxa"/>
            </w:tcMar>
            <w:tcW w:w="1440" w:type="dxa"/>
            <w:vAlign w:val="center"/>
            <w:textDirection w:val="lrTb"/>
            <w:noWrap w:val="false"/>
          </w:tcPr>
          <w:p>
            <w:pPr>
              <w:pBdr/>
              <w:spacing w:after="0"/>
              <w:ind/>
              <w:jc w:val="center"/>
              <w:rPr/>
            </w:pPr>
            <w:r>
              <w:rPr>
                <w:rFonts w:ascii="Calibri" w:hAnsi="Calibri"/>
                <w:b/>
                <w:i w:val="0"/>
                <w:color w:val="1f4d78"/>
                <w:sz w:val="16"/>
              </w:rPr>
              <w:t xml:space="preserve">Status</w:t>
            </w:r>
            <w:r/>
          </w:p>
        </w:tc>
      </w:tr>
      <w:tr>
        <w:trPr/>
        <w:tc>
          <w:tcPr>
            <w:tcBorders/>
            <w:tcMar>
              <w:left w:w="120" w:type="dxa"/>
              <w:top w:w="80" w:type="dxa"/>
              <w:right w:w="120" w:type="dxa"/>
              <w:bottom w:w="80" w:type="dxa"/>
            </w:tcMar>
            <w:tcW w:w="504" w:type="dxa"/>
            <w:vAlign w:val="center"/>
            <w:textDirection w:val="lrTb"/>
            <w:noWrap w:val="false"/>
          </w:tcPr>
          <w:p>
            <w:pPr>
              <w:pBdr/>
              <w:spacing w:after="0" w:line="252" w:lineRule="auto"/>
              <w:ind/>
              <w:jc w:val="center"/>
              <w:rPr/>
            </w:pPr>
            <w:r>
              <w:rPr>
                <w:rFonts w:ascii="Calibri" w:hAnsi="Calibri"/>
                <w:b w:val="0"/>
                <w:i w:val="0"/>
                <w:color w:val="111111"/>
                <w:sz w:val="16"/>
              </w:rPr>
              <w:t xml:space="preserve">1.a</w:t>
            </w:r>
            <w:r/>
          </w:p>
        </w:tc>
        <w:tc>
          <w:tcPr>
            <w:tcBorders/>
            <w:tcMar>
              <w:left w:w="120" w:type="dxa"/>
              <w:top w:w="80" w:type="dxa"/>
              <w:right w:w="120" w:type="dxa"/>
              <w:bottom w:w="80" w:type="dxa"/>
            </w:tcMar>
            <w:tcW w:w="4392" w:type="dxa"/>
            <w:vAlign w:val="center"/>
            <w:textDirection w:val="lrTb"/>
            <w:noWrap w:val="false"/>
          </w:tcPr>
          <w:p>
            <w:pPr>
              <w:pBdr/>
              <w:spacing w:after="0" w:line="252" w:lineRule="auto"/>
              <w:ind/>
              <w:jc w:val="left"/>
              <w:rPr/>
            </w:pPr>
            <w:r>
              <w:rPr>
                <w:rFonts w:ascii="Calibri" w:hAnsi="Calibri"/>
                <w:b w:val="0"/>
                <w:i w:val="0"/>
                <w:color w:val="111111"/>
                <w:sz w:val="16"/>
              </w:rPr>
              <w:t xml:space="preserve">Correction: Orchestrating value co-creation in digital education using the TISE-VALORIZE framework: from knowing to becoming</w:t>
            </w:r>
            <w:r/>
          </w:p>
        </w:tc>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6"/>
              </w:rPr>
              <w:t xml:space="preserve">Frontiers in Education</w:t>
            </w:r>
            <w:r/>
          </w:p>
        </w:tc>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6"/>
              </w:rPr>
              <w:t xml:space="preserve">Q1</w:t>
            </w:r>
            <w:r/>
          </w:p>
        </w:tc>
        <w:tc>
          <w:tcPr>
            <w:tcBorders/>
            <w:tcMar>
              <w:left w:w="120" w:type="dxa"/>
              <w:top w:w="80" w:type="dxa"/>
              <w:right w:w="120" w:type="dxa"/>
              <w:bottom w:w="80" w:type="dxa"/>
            </w:tcMar>
            <w:tcW w:w="1440" w:type="dxa"/>
            <w:vAlign w:val="center"/>
            <w:textDirection w:val="lrTb"/>
            <w:noWrap w:val="false"/>
          </w:tcPr>
          <w:p>
            <w:pPr>
              <w:pBdr/>
              <w:spacing w:after="0" w:line="252" w:lineRule="auto"/>
              <w:ind/>
              <w:jc w:val="left"/>
              <w:rPr/>
            </w:pPr>
            <w:r>
              <w:rPr>
                <w:rFonts w:ascii="Calibri" w:hAnsi="Calibri"/>
                <w:b w:val="0"/>
                <w:i w:val="0"/>
                <w:color w:val="111111"/>
                <w:sz w:val="16"/>
              </w:rPr>
              <w:t xml:space="preserve">Published</w:t>
            </w:r>
            <w:r/>
          </w:p>
        </w:tc>
      </w:tr>
      <w:tr>
        <w:trPr/>
        <w:tc>
          <w:tcPr>
            <w:tcBorders/>
            <w:tcMar>
              <w:left w:w="120" w:type="dxa"/>
              <w:top w:w="80" w:type="dxa"/>
              <w:right w:w="120" w:type="dxa"/>
              <w:bottom w:w="80" w:type="dxa"/>
            </w:tcMar>
            <w:tcW w:w="504" w:type="dxa"/>
            <w:vAlign w:val="center"/>
            <w:textDirection w:val="lrTb"/>
            <w:noWrap w:val="false"/>
          </w:tcPr>
          <w:p>
            <w:pPr>
              <w:pBdr/>
              <w:spacing w:after="0" w:line="252" w:lineRule="auto"/>
              <w:ind/>
              <w:jc w:val="center"/>
              <w:rPr/>
            </w:pPr>
            <w:r>
              <w:rPr>
                <w:rFonts w:ascii="Calibri" w:hAnsi="Calibri"/>
                <w:b w:val="0"/>
                <w:i w:val="0"/>
                <w:color w:val="111111"/>
                <w:sz w:val="16"/>
              </w:rPr>
              <w:t xml:space="preserve">1.b</w:t>
            </w:r>
            <w:r/>
          </w:p>
        </w:tc>
        <w:tc>
          <w:tcPr>
            <w:tcBorders/>
            <w:tcMar>
              <w:left w:w="120" w:type="dxa"/>
              <w:top w:w="80" w:type="dxa"/>
              <w:right w:w="120" w:type="dxa"/>
              <w:bottom w:w="80" w:type="dxa"/>
            </w:tcMar>
            <w:tcW w:w="4392" w:type="dxa"/>
            <w:vAlign w:val="center"/>
            <w:textDirection w:val="lrTb"/>
            <w:noWrap w:val="false"/>
          </w:tcPr>
          <w:p>
            <w:pPr>
              <w:pBdr/>
              <w:spacing w:after="0" w:line="252" w:lineRule="auto"/>
              <w:ind/>
              <w:jc w:val="left"/>
              <w:rPr/>
            </w:pPr>
            <w:r>
              <w:rPr>
                <w:rFonts w:ascii="Calibri" w:hAnsi="Calibri"/>
                <w:b w:val="0"/>
                <w:i w:val="0"/>
                <w:color w:val="111111"/>
                <w:sz w:val="16"/>
              </w:rPr>
              <w:t xml:space="preserve">Orchestrating value co-creation in digital education using the TISE-VALORIZE framework: from knowing to becoming</w:t>
            </w:r>
            <w:r/>
          </w:p>
        </w:tc>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6"/>
              </w:rPr>
              <w:t xml:space="preserve">Frontiers in Education</w:t>
            </w:r>
            <w:r/>
          </w:p>
        </w:tc>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6"/>
              </w:rPr>
              <w:t xml:space="preserve">Q1</w:t>
            </w:r>
            <w:r/>
          </w:p>
        </w:tc>
        <w:tc>
          <w:tcPr>
            <w:tcBorders/>
            <w:tcMar>
              <w:left w:w="120" w:type="dxa"/>
              <w:top w:w="80" w:type="dxa"/>
              <w:right w:w="120" w:type="dxa"/>
              <w:bottom w:w="80" w:type="dxa"/>
            </w:tcMar>
            <w:tcW w:w="1440" w:type="dxa"/>
            <w:vAlign w:val="center"/>
            <w:textDirection w:val="lrTb"/>
            <w:noWrap w:val="false"/>
          </w:tcPr>
          <w:p>
            <w:pPr>
              <w:pBdr/>
              <w:spacing w:after="0" w:line="252" w:lineRule="auto"/>
              <w:ind/>
              <w:jc w:val="left"/>
              <w:rPr/>
            </w:pPr>
            <w:r>
              <w:rPr>
                <w:rFonts w:ascii="Calibri" w:hAnsi="Calibri"/>
                <w:b w:val="0"/>
                <w:i w:val="0"/>
                <w:color w:val="111111"/>
                <w:sz w:val="16"/>
              </w:rPr>
              <w:t xml:space="preserve">Published</w:t>
            </w:r>
            <w:r/>
          </w:p>
        </w:tc>
      </w:tr>
      <w:tr>
        <w:trPr/>
        <w:tc>
          <w:tcPr>
            <w:tcBorders/>
            <w:tcMar>
              <w:left w:w="120" w:type="dxa"/>
              <w:top w:w="80" w:type="dxa"/>
              <w:right w:w="120" w:type="dxa"/>
              <w:bottom w:w="80" w:type="dxa"/>
            </w:tcMar>
            <w:tcW w:w="504" w:type="dxa"/>
            <w:vAlign w:val="center"/>
            <w:textDirection w:val="lrTb"/>
            <w:noWrap w:val="false"/>
          </w:tcPr>
          <w:p>
            <w:pPr>
              <w:pBdr/>
              <w:spacing w:after="0" w:line="252" w:lineRule="auto"/>
              <w:ind/>
              <w:jc w:val="center"/>
              <w:rPr/>
            </w:pPr>
            <w:r>
              <w:rPr>
                <w:rFonts w:ascii="Calibri" w:hAnsi="Calibri"/>
                <w:b w:val="0"/>
                <w:i w:val="0"/>
                <w:color w:val="111111"/>
                <w:sz w:val="16"/>
              </w:rPr>
              <w:t xml:space="preserve">2</w:t>
            </w:r>
            <w:r/>
          </w:p>
        </w:tc>
        <w:tc>
          <w:tcPr>
            <w:tcBorders/>
            <w:tcMar>
              <w:left w:w="120" w:type="dxa"/>
              <w:top w:w="80" w:type="dxa"/>
              <w:right w:w="120" w:type="dxa"/>
              <w:bottom w:w="80" w:type="dxa"/>
            </w:tcMar>
            <w:tcW w:w="4392" w:type="dxa"/>
            <w:vAlign w:val="center"/>
            <w:textDirection w:val="lrTb"/>
            <w:noWrap w:val="false"/>
          </w:tcPr>
          <w:p>
            <w:pPr>
              <w:pBdr/>
              <w:spacing w:after="0" w:line="252" w:lineRule="auto"/>
              <w:ind/>
              <w:jc w:val="left"/>
              <w:rPr/>
            </w:pPr>
            <w:r>
              <w:rPr>
                <w:rFonts w:ascii="Calibri" w:hAnsi="Calibri"/>
                <w:b w:val="0"/>
                <w:i w:val="0"/>
                <w:color w:val="111111"/>
                <w:sz w:val="16"/>
              </w:rPr>
              <w:t xml:space="preserve">A Hybrid Systematic Literature Review of User-Centric QoE and QoS Evaluation Methods in Video Streaming Services</w:t>
            </w:r>
            <w:r/>
          </w:p>
        </w:tc>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6"/>
              </w:rPr>
              <w:t xml:space="preserve">JOIV: International Journal on Informatics Visualization</w:t>
            </w:r>
            <w:r/>
          </w:p>
        </w:tc>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6"/>
              </w:rPr>
              <w:t xml:space="preserve">Q2/Q3</w:t>
            </w:r>
            <w:r/>
          </w:p>
        </w:tc>
        <w:tc>
          <w:tcPr>
            <w:tcBorders/>
            <w:tcMar>
              <w:left w:w="120" w:type="dxa"/>
              <w:top w:w="80" w:type="dxa"/>
              <w:right w:w="120" w:type="dxa"/>
              <w:bottom w:w="80" w:type="dxa"/>
            </w:tcMar>
            <w:tcW w:w="1440" w:type="dxa"/>
            <w:vAlign w:val="center"/>
            <w:textDirection w:val="lrTb"/>
            <w:noWrap w:val="false"/>
          </w:tcPr>
          <w:p>
            <w:pPr>
              <w:pBdr/>
              <w:spacing w:after="0" w:line="252" w:lineRule="auto"/>
              <w:ind/>
              <w:jc w:val="left"/>
              <w:rPr/>
            </w:pPr>
            <w:r>
              <w:rPr>
                <w:rFonts w:ascii="Calibri" w:hAnsi="Calibri"/>
                <w:b w:val="0"/>
                <w:i w:val="0"/>
                <w:color w:val="111111"/>
                <w:sz w:val="16"/>
              </w:rPr>
              <w:t xml:space="preserve">Published</w:t>
            </w:r>
            <w:r/>
          </w:p>
        </w:tc>
      </w:tr>
      <w:tr>
        <w:trPr/>
        <w:tc>
          <w:tcPr>
            <w:tcBorders/>
            <w:tcMar>
              <w:left w:w="120" w:type="dxa"/>
              <w:top w:w="80" w:type="dxa"/>
              <w:right w:w="120" w:type="dxa"/>
              <w:bottom w:w="80" w:type="dxa"/>
            </w:tcMar>
            <w:tcW w:w="504" w:type="dxa"/>
            <w:vAlign w:val="center"/>
            <w:textDirection w:val="lrTb"/>
            <w:noWrap w:val="false"/>
          </w:tcPr>
          <w:p>
            <w:pPr>
              <w:pBdr/>
              <w:spacing w:after="0" w:line="252" w:lineRule="auto"/>
              <w:ind/>
              <w:jc w:val="center"/>
              <w:rPr/>
            </w:pPr>
            <w:r>
              <w:rPr>
                <w:rFonts w:ascii="Calibri" w:hAnsi="Calibri"/>
                <w:b w:val="0"/>
                <w:i w:val="0"/>
                <w:color w:val="111111"/>
                <w:sz w:val="16"/>
              </w:rPr>
              <w:t xml:space="preserve">3</w:t>
            </w:r>
            <w:r/>
          </w:p>
        </w:tc>
        <w:tc>
          <w:tcPr>
            <w:tcBorders/>
            <w:tcMar>
              <w:left w:w="120" w:type="dxa"/>
              <w:top w:w="80" w:type="dxa"/>
              <w:right w:w="120" w:type="dxa"/>
              <w:bottom w:w="80" w:type="dxa"/>
            </w:tcMar>
            <w:tcW w:w="4392" w:type="dxa"/>
            <w:vAlign w:val="center"/>
            <w:textDirection w:val="lrTb"/>
            <w:noWrap w:val="false"/>
          </w:tcPr>
          <w:p>
            <w:pPr>
              <w:pBdr/>
              <w:spacing w:after="0" w:line="252" w:lineRule="auto"/>
              <w:ind/>
              <w:jc w:val="left"/>
              <w:rPr/>
            </w:pPr>
            <w:r>
              <w:rPr>
                <w:rFonts w:ascii="Calibri" w:hAnsi="Calibri"/>
                <w:b w:val="0"/>
                <w:i w:val="0"/>
                <w:color w:val="111111"/>
                <w:sz w:val="16"/>
              </w:rPr>
              <w:t xml:space="preserve">A Synergy-Driven Portfolio Optimization Model Under Mixed Financing</w:t>
            </w:r>
            <w:r/>
          </w:p>
        </w:tc>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6"/>
              </w:rPr>
              <w:t xml:space="preserve">JOIV: International Journal on Informatics Visualization</w:t>
            </w:r>
            <w:r/>
          </w:p>
        </w:tc>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6"/>
              </w:rPr>
              <w:t xml:space="preserve">Q2/Q3</w:t>
            </w:r>
            <w:r/>
          </w:p>
        </w:tc>
        <w:tc>
          <w:tcPr>
            <w:tcBorders/>
            <w:tcMar>
              <w:left w:w="120" w:type="dxa"/>
              <w:top w:w="80" w:type="dxa"/>
              <w:right w:w="120" w:type="dxa"/>
              <w:bottom w:w="80" w:type="dxa"/>
            </w:tcMar>
            <w:tcW w:w="1440" w:type="dxa"/>
            <w:vAlign w:val="center"/>
            <w:textDirection w:val="lrTb"/>
            <w:noWrap w:val="false"/>
          </w:tcPr>
          <w:p>
            <w:pPr>
              <w:pBdr/>
              <w:spacing w:after="0" w:line="252" w:lineRule="auto"/>
              <w:ind/>
              <w:jc w:val="left"/>
              <w:rPr/>
            </w:pPr>
            <w:r>
              <w:rPr>
                <w:rFonts w:ascii="Calibri" w:hAnsi="Calibri"/>
                <w:b w:val="0"/>
                <w:i w:val="0"/>
                <w:color w:val="111111"/>
                <w:sz w:val="16"/>
              </w:rPr>
              <w:t xml:space="preserve">Published</w:t>
            </w:r>
            <w:r/>
          </w:p>
        </w:tc>
      </w:tr>
      <w:tr>
        <w:trPr/>
        <w:tc>
          <w:tcPr>
            <w:tcBorders/>
            <w:tcMar>
              <w:left w:w="120" w:type="dxa"/>
              <w:top w:w="80" w:type="dxa"/>
              <w:right w:w="120" w:type="dxa"/>
              <w:bottom w:w="80" w:type="dxa"/>
            </w:tcMar>
            <w:tcW w:w="504" w:type="dxa"/>
            <w:vAlign w:val="center"/>
            <w:textDirection w:val="lrTb"/>
            <w:noWrap w:val="false"/>
          </w:tcPr>
          <w:p>
            <w:pPr>
              <w:pBdr/>
              <w:spacing w:after="0" w:line="252" w:lineRule="auto"/>
              <w:ind/>
              <w:jc w:val="center"/>
              <w:rPr/>
            </w:pPr>
            <w:r>
              <w:rPr>
                <w:rFonts w:ascii="Calibri" w:hAnsi="Calibri"/>
                <w:b w:val="0"/>
                <w:i w:val="0"/>
                <w:color w:val="111111"/>
                <w:sz w:val="16"/>
              </w:rPr>
              <w:t xml:space="preserve">4</w:t>
            </w:r>
            <w:r/>
          </w:p>
        </w:tc>
        <w:tc>
          <w:tcPr>
            <w:tcBorders/>
            <w:tcMar>
              <w:left w:w="120" w:type="dxa"/>
              <w:top w:w="80" w:type="dxa"/>
              <w:right w:w="120" w:type="dxa"/>
              <w:bottom w:w="80" w:type="dxa"/>
            </w:tcMar>
            <w:tcW w:w="4392" w:type="dxa"/>
            <w:vAlign w:val="center"/>
            <w:textDirection w:val="lrTb"/>
            <w:noWrap w:val="false"/>
          </w:tcPr>
          <w:p>
            <w:pPr>
              <w:pBdr/>
              <w:spacing w:after="0" w:line="252" w:lineRule="auto"/>
              <w:ind/>
              <w:jc w:val="left"/>
              <w:rPr/>
            </w:pPr>
            <w:r>
              <w:rPr>
                <w:rFonts w:ascii="Calibri" w:hAnsi="Calibri"/>
                <w:b w:val="0"/>
                <w:i w:val="0"/>
                <w:color w:val="111111"/>
                <w:sz w:val="16"/>
              </w:rPr>
              <w:t xml:space="preserve">An Integrated Practical Assessment Model for Web Programming Education in Smart Campus Environments</w:t>
            </w:r>
            <w:r/>
          </w:p>
        </w:tc>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6"/>
              </w:rPr>
              <w:t xml:space="preserve">Ingenierie des Systemes d'Information</w:t>
            </w:r>
            <w:r/>
          </w:p>
        </w:tc>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6"/>
              </w:rPr>
              <w:t xml:space="preserve">Q3</w:t>
            </w:r>
            <w:r/>
          </w:p>
        </w:tc>
        <w:tc>
          <w:tcPr>
            <w:tcBorders/>
            <w:tcMar>
              <w:left w:w="120" w:type="dxa"/>
              <w:top w:w="80" w:type="dxa"/>
              <w:right w:w="120" w:type="dxa"/>
              <w:bottom w:w="80" w:type="dxa"/>
            </w:tcMar>
            <w:tcW w:w="1440" w:type="dxa"/>
            <w:vAlign w:val="center"/>
            <w:textDirection w:val="lrTb"/>
            <w:noWrap w:val="false"/>
          </w:tcPr>
          <w:p>
            <w:pPr>
              <w:pBdr/>
              <w:spacing w:after="0" w:line="252" w:lineRule="auto"/>
              <w:ind/>
              <w:jc w:val="left"/>
              <w:rPr/>
            </w:pPr>
            <w:r>
              <w:rPr>
                <w:rFonts w:ascii="Calibri" w:hAnsi="Calibri"/>
                <w:b w:val="0"/>
                <w:i w:val="0"/>
                <w:color w:val="111111"/>
                <w:sz w:val="16"/>
              </w:rPr>
              <w:t xml:space="preserve">Published</w:t>
            </w:r>
            <w:r/>
          </w:p>
        </w:tc>
      </w:tr>
      <w:tr>
        <w:trPr/>
        <w:tc>
          <w:tcPr>
            <w:tcBorders/>
            <w:tcMar>
              <w:left w:w="120" w:type="dxa"/>
              <w:top w:w="80" w:type="dxa"/>
              <w:right w:w="120" w:type="dxa"/>
              <w:bottom w:w="80" w:type="dxa"/>
            </w:tcMar>
            <w:tcW w:w="504" w:type="dxa"/>
            <w:vAlign w:val="center"/>
            <w:textDirection w:val="lrTb"/>
            <w:noWrap w:val="false"/>
          </w:tcPr>
          <w:p>
            <w:pPr>
              <w:pBdr/>
              <w:spacing w:after="0" w:line="252" w:lineRule="auto"/>
              <w:ind/>
              <w:jc w:val="center"/>
              <w:rPr/>
            </w:pPr>
            <w:r>
              <w:rPr>
                <w:rFonts w:ascii="Calibri" w:hAnsi="Calibri"/>
                <w:b w:val="0"/>
                <w:i w:val="0"/>
                <w:color w:val="111111"/>
                <w:sz w:val="16"/>
              </w:rPr>
              <w:t xml:space="preserve">5</w:t>
            </w:r>
            <w:r/>
          </w:p>
        </w:tc>
        <w:tc>
          <w:tcPr>
            <w:tcBorders/>
            <w:tcMar>
              <w:left w:w="120" w:type="dxa"/>
              <w:top w:w="80" w:type="dxa"/>
              <w:right w:w="120" w:type="dxa"/>
              <w:bottom w:w="80" w:type="dxa"/>
            </w:tcMar>
            <w:tcW w:w="4392" w:type="dxa"/>
            <w:vAlign w:val="center"/>
            <w:textDirection w:val="lrTb"/>
            <w:noWrap w:val="false"/>
          </w:tcPr>
          <w:p>
            <w:pPr>
              <w:pBdr/>
              <w:spacing w:after="0" w:line="252" w:lineRule="auto"/>
              <w:ind/>
              <w:jc w:val="left"/>
              <w:rPr/>
            </w:pPr>
            <w:r>
              <w:rPr>
                <w:rFonts w:ascii="Calibri" w:hAnsi="Calibri"/>
                <w:b w:val="0"/>
                <w:i w:val="0"/>
                <w:color w:val="111111"/>
                <w:sz w:val="16"/>
              </w:rPr>
              <w:t xml:space="preserve">A Smart Management Framework for Higher Education Accreditation Based on the PUDAL Engine and V-Model Approach</w:t>
            </w:r>
            <w:r/>
          </w:p>
        </w:tc>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6"/>
              </w:rPr>
              <w:t xml:space="preserve">Asia-Pacific Journal of Information Technology &amp; Multimedia</w:t>
            </w:r>
            <w:r/>
          </w:p>
        </w:tc>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6"/>
              </w:rPr>
              <w:t xml:space="preserve">Q3</w:t>
            </w:r>
            <w:r/>
          </w:p>
        </w:tc>
        <w:tc>
          <w:tcPr>
            <w:tcBorders/>
            <w:tcMar>
              <w:left w:w="120" w:type="dxa"/>
              <w:top w:w="80" w:type="dxa"/>
              <w:right w:w="120" w:type="dxa"/>
              <w:bottom w:w="80" w:type="dxa"/>
            </w:tcMar>
            <w:tcW w:w="1440" w:type="dxa"/>
            <w:vAlign w:val="center"/>
            <w:textDirection w:val="lrTb"/>
            <w:noWrap w:val="false"/>
          </w:tcPr>
          <w:p>
            <w:pPr>
              <w:pBdr/>
              <w:spacing w:after="0" w:line="252" w:lineRule="auto"/>
              <w:ind/>
              <w:jc w:val="left"/>
              <w:rPr/>
            </w:pPr>
            <w:r>
              <w:rPr>
                <w:rFonts w:ascii="Calibri" w:hAnsi="Calibri"/>
                <w:b w:val="0"/>
                <w:i w:val="0"/>
                <w:color w:val="111111"/>
                <w:sz w:val="16"/>
              </w:rPr>
              <w:t xml:space="preserve">Published</w:t>
            </w:r>
            <w:r/>
          </w:p>
        </w:tc>
      </w:tr>
      <w:tr>
        <w:trPr/>
        <w:tc>
          <w:tcPr>
            <w:tcBorders/>
            <w:tcMar>
              <w:left w:w="120" w:type="dxa"/>
              <w:top w:w="80" w:type="dxa"/>
              <w:right w:w="120" w:type="dxa"/>
              <w:bottom w:w="80" w:type="dxa"/>
            </w:tcMar>
            <w:tcW w:w="504" w:type="dxa"/>
            <w:vAlign w:val="center"/>
            <w:textDirection w:val="lrTb"/>
            <w:noWrap w:val="false"/>
          </w:tcPr>
          <w:p>
            <w:pPr>
              <w:pBdr/>
              <w:spacing w:after="0" w:line="252" w:lineRule="auto"/>
              <w:ind/>
              <w:jc w:val="center"/>
              <w:rPr/>
            </w:pPr>
            <w:r>
              <w:rPr>
                <w:rFonts w:ascii="Calibri" w:hAnsi="Calibri"/>
                <w:b w:val="0"/>
                <w:i w:val="0"/>
                <w:color w:val="111111"/>
                <w:sz w:val="16"/>
              </w:rPr>
              <w:t xml:space="preserve">6</w:t>
            </w:r>
            <w:r/>
          </w:p>
        </w:tc>
        <w:tc>
          <w:tcPr>
            <w:tcBorders/>
            <w:tcMar>
              <w:left w:w="120" w:type="dxa"/>
              <w:top w:w="80" w:type="dxa"/>
              <w:right w:w="120" w:type="dxa"/>
              <w:bottom w:w="80" w:type="dxa"/>
            </w:tcMar>
            <w:tcW w:w="4392" w:type="dxa"/>
            <w:vAlign w:val="center"/>
            <w:textDirection w:val="lrTb"/>
            <w:noWrap w:val="false"/>
          </w:tcPr>
          <w:p>
            <w:pPr>
              <w:pBdr/>
              <w:spacing w:after="0" w:line="252" w:lineRule="auto"/>
              <w:ind/>
              <w:jc w:val="left"/>
              <w:rPr/>
            </w:pPr>
            <w:r>
              <w:rPr>
                <w:rFonts w:ascii="Calibri" w:hAnsi="Calibri"/>
                <w:b w:val="0"/>
                <w:i w:val="0"/>
                <w:color w:val="111111"/>
                <w:sz w:val="16"/>
              </w:rPr>
              <w:t xml:space="preserve">Focus Detection Using EEG: Trends, Challenges, Advantages, Application Areas, Background</w:t>
            </w:r>
            <w:r/>
          </w:p>
        </w:tc>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6"/>
              </w:rPr>
              <w:t xml:space="preserve">Health Information Science: 14th International Conference, HIS 2025</w:t>
            </w:r>
            <w:r/>
          </w:p>
        </w:tc>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6"/>
              </w:rPr>
              <w:t xml:space="preserve">Non-Q proceedings</w:t>
            </w:r>
            <w:r/>
          </w:p>
        </w:tc>
        <w:tc>
          <w:tcPr>
            <w:tcBorders/>
            <w:tcMar>
              <w:left w:w="120" w:type="dxa"/>
              <w:top w:w="80" w:type="dxa"/>
              <w:right w:w="120" w:type="dxa"/>
              <w:bottom w:w="80" w:type="dxa"/>
            </w:tcMar>
            <w:tcW w:w="1440" w:type="dxa"/>
            <w:vAlign w:val="center"/>
            <w:textDirection w:val="lrTb"/>
            <w:noWrap w:val="false"/>
          </w:tcPr>
          <w:p>
            <w:pPr>
              <w:pBdr/>
              <w:spacing w:after="0" w:line="252" w:lineRule="auto"/>
              <w:ind/>
              <w:jc w:val="left"/>
              <w:rPr/>
            </w:pPr>
            <w:r>
              <w:rPr>
                <w:rFonts w:ascii="Calibri" w:hAnsi="Calibri"/>
                <w:b w:val="0"/>
                <w:i w:val="0"/>
                <w:color w:val="111111"/>
                <w:sz w:val="16"/>
              </w:rPr>
              <w:t xml:space="preserve">Published</w:t>
            </w:r>
            <w:r/>
          </w:p>
        </w:tc>
      </w:tr>
      <w:tr>
        <w:trPr/>
        <w:tc>
          <w:tcPr>
            <w:tcBorders/>
            <w:tcMar>
              <w:left w:w="120" w:type="dxa"/>
              <w:top w:w="80" w:type="dxa"/>
              <w:right w:w="120" w:type="dxa"/>
              <w:bottom w:w="80" w:type="dxa"/>
            </w:tcMar>
            <w:tcW w:w="504" w:type="dxa"/>
            <w:vAlign w:val="center"/>
            <w:textDirection w:val="lrTb"/>
            <w:noWrap w:val="false"/>
          </w:tcPr>
          <w:p>
            <w:pPr>
              <w:pBdr/>
              <w:spacing w:after="0" w:line="252" w:lineRule="auto"/>
              <w:ind/>
              <w:jc w:val="center"/>
              <w:rPr/>
            </w:pPr>
            <w:r>
              <w:rPr>
                <w:rFonts w:ascii="Calibri" w:hAnsi="Calibri"/>
                <w:b w:val="0"/>
                <w:i w:val="0"/>
                <w:color w:val="111111"/>
                <w:sz w:val="16"/>
              </w:rPr>
              <w:t xml:space="preserve">7</w:t>
            </w:r>
            <w:r/>
          </w:p>
        </w:tc>
        <w:tc>
          <w:tcPr>
            <w:tcBorders/>
            <w:tcMar>
              <w:left w:w="120" w:type="dxa"/>
              <w:top w:w="80" w:type="dxa"/>
              <w:right w:w="120" w:type="dxa"/>
              <w:bottom w:w="80" w:type="dxa"/>
            </w:tcMar>
            <w:tcW w:w="4392" w:type="dxa"/>
            <w:vAlign w:val="center"/>
            <w:textDirection w:val="lrTb"/>
            <w:noWrap w:val="false"/>
          </w:tcPr>
          <w:p>
            <w:pPr>
              <w:pBdr/>
              <w:spacing w:after="0" w:line="252" w:lineRule="auto"/>
              <w:ind/>
              <w:jc w:val="left"/>
              <w:rPr/>
            </w:pPr>
            <w:r>
              <w:rPr>
                <w:rFonts w:ascii="Calibri" w:hAnsi="Calibri"/>
                <w:b w:val="0"/>
                <w:i w:val="0"/>
                <w:color w:val="111111"/>
                <w:sz w:val="16"/>
              </w:rPr>
              <w:t xml:space="preserve">Structured Collaborative Problem Solving Using Isomorphic Task Design: Evidence on Engineering Student Outcomes</w:t>
            </w:r>
            <w:r/>
          </w:p>
        </w:tc>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6"/>
              </w:rPr>
              <w:t xml:space="preserve">IEEE Transactions on Education</w:t>
            </w:r>
            <w:r/>
          </w:p>
        </w:tc>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6"/>
              </w:rPr>
              <w:t xml:space="preserve">Q1</w:t>
            </w:r>
            <w:r/>
          </w:p>
        </w:tc>
        <w:tc>
          <w:tcPr>
            <w:tcBorders/>
            <w:tcMar>
              <w:left w:w="120" w:type="dxa"/>
              <w:top w:w="80" w:type="dxa"/>
              <w:right w:w="120" w:type="dxa"/>
              <w:bottom w:w="80" w:type="dxa"/>
            </w:tcMar>
            <w:tcW w:w="1440" w:type="dxa"/>
            <w:vAlign w:val="center"/>
            <w:textDirection w:val="lrTb"/>
            <w:noWrap w:val="false"/>
          </w:tcPr>
          <w:p>
            <w:pPr>
              <w:pBdr/>
              <w:spacing w:after="0" w:line="252" w:lineRule="auto"/>
              <w:ind/>
              <w:jc w:val="left"/>
              <w:rPr/>
            </w:pPr>
            <w:r>
              <w:rPr>
                <w:rFonts w:ascii="Calibri" w:hAnsi="Calibri"/>
                <w:b w:val="0"/>
                <w:i w:val="0"/>
                <w:color w:val="111111"/>
                <w:sz w:val="16"/>
              </w:rPr>
              <w:t xml:space="preserve">Under review</w:t>
            </w:r>
            <w:r/>
          </w:p>
        </w:tc>
      </w:tr>
      <w:tr>
        <w:trPr/>
        <w:tc>
          <w:tcPr>
            <w:tcBorders/>
            <w:tcMar>
              <w:left w:w="120" w:type="dxa"/>
              <w:top w:w="80" w:type="dxa"/>
              <w:right w:w="120" w:type="dxa"/>
              <w:bottom w:w="80" w:type="dxa"/>
            </w:tcMar>
            <w:tcW w:w="504" w:type="dxa"/>
            <w:vAlign w:val="center"/>
            <w:textDirection w:val="lrTb"/>
            <w:noWrap w:val="false"/>
          </w:tcPr>
          <w:p>
            <w:pPr>
              <w:pBdr/>
              <w:spacing w:after="0" w:line="252" w:lineRule="auto"/>
              <w:ind/>
              <w:jc w:val="center"/>
              <w:rPr/>
            </w:pPr>
            <w:r>
              <w:rPr>
                <w:rFonts w:ascii="Calibri" w:hAnsi="Calibri"/>
                <w:b w:val="0"/>
                <w:i w:val="0"/>
                <w:color w:val="111111"/>
                <w:sz w:val="16"/>
              </w:rPr>
              <w:t xml:space="preserve">8</w:t>
            </w:r>
            <w:r/>
          </w:p>
        </w:tc>
        <w:tc>
          <w:tcPr>
            <w:tcBorders/>
            <w:tcMar>
              <w:left w:w="120" w:type="dxa"/>
              <w:top w:w="80" w:type="dxa"/>
              <w:right w:w="120" w:type="dxa"/>
              <w:bottom w:w="80" w:type="dxa"/>
            </w:tcMar>
            <w:tcW w:w="4392" w:type="dxa"/>
            <w:vAlign w:val="center"/>
            <w:textDirection w:val="lrTb"/>
            <w:noWrap w:val="false"/>
          </w:tcPr>
          <w:p>
            <w:pPr>
              <w:pBdr/>
              <w:spacing w:after="0" w:line="252" w:lineRule="auto"/>
              <w:ind/>
              <w:jc w:val="left"/>
              <w:rPr/>
            </w:pPr>
            <w:r>
              <w:rPr>
                <w:rFonts w:ascii="Calibri" w:hAnsi="Calibri"/>
                <w:b w:val="0"/>
                <w:i w:val="0"/>
                <w:color w:val="111111"/>
                <w:sz w:val="16"/>
              </w:rPr>
              <w:t xml:space="preserve">GRACE and MyGRACE: Designing and Evaluating a Narrative-Centered Socio-Technical Ecosystem for Older-Adult Wellbeing</w:t>
            </w:r>
            <w:r/>
          </w:p>
        </w:tc>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6"/>
              </w:rPr>
              <w:t xml:space="preserve">IEEE Transactions on Technology and Society</w:t>
            </w:r>
            <w:r/>
          </w:p>
        </w:tc>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6"/>
              </w:rPr>
              <w:t xml:space="preserve">Q1</w:t>
            </w:r>
            <w:r/>
          </w:p>
        </w:tc>
        <w:tc>
          <w:tcPr>
            <w:tcBorders/>
            <w:tcMar>
              <w:left w:w="120" w:type="dxa"/>
              <w:top w:w="80" w:type="dxa"/>
              <w:right w:w="120" w:type="dxa"/>
              <w:bottom w:w="80" w:type="dxa"/>
            </w:tcMar>
            <w:tcW w:w="1440" w:type="dxa"/>
            <w:vAlign w:val="center"/>
            <w:textDirection w:val="lrTb"/>
            <w:noWrap w:val="false"/>
          </w:tcPr>
          <w:p>
            <w:pPr>
              <w:pBdr/>
              <w:spacing w:after="0" w:line="252" w:lineRule="auto"/>
              <w:ind/>
              <w:jc w:val="left"/>
              <w:rPr/>
            </w:pPr>
            <w:r>
              <w:rPr>
                <w:rFonts w:ascii="Calibri" w:hAnsi="Calibri"/>
                <w:b w:val="0"/>
                <w:i w:val="0"/>
                <w:color w:val="111111"/>
                <w:sz w:val="16"/>
              </w:rPr>
              <w:t xml:space="preserve">Draft</w:t>
            </w:r>
            <w:r/>
          </w:p>
        </w:tc>
      </w:tr>
      <w:tr>
        <w:trPr/>
        <w:tc>
          <w:tcPr>
            <w:tcBorders/>
            <w:tcMar>
              <w:left w:w="120" w:type="dxa"/>
              <w:top w:w="80" w:type="dxa"/>
              <w:right w:w="120" w:type="dxa"/>
              <w:bottom w:w="80" w:type="dxa"/>
            </w:tcMar>
            <w:tcW w:w="504" w:type="dxa"/>
            <w:vAlign w:val="center"/>
            <w:textDirection w:val="lrTb"/>
            <w:noWrap w:val="false"/>
          </w:tcPr>
          <w:p>
            <w:pPr>
              <w:pBdr/>
              <w:spacing w:after="0" w:line="252" w:lineRule="auto"/>
              <w:ind/>
              <w:jc w:val="center"/>
              <w:rPr/>
            </w:pPr>
            <w:r>
              <w:rPr>
                <w:rFonts w:ascii="Calibri" w:hAnsi="Calibri"/>
                <w:b w:val="0"/>
                <w:i w:val="0"/>
                <w:color w:val="111111"/>
                <w:sz w:val="16"/>
              </w:rPr>
              <w:t xml:space="preserve">9</w:t>
            </w:r>
            <w:r/>
          </w:p>
        </w:tc>
        <w:tc>
          <w:tcPr>
            <w:tcBorders/>
            <w:tcMar>
              <w:left w:w="120" w:type="dxa"/>
              <w:top w:w="80" w:type="dxa"/>
              <w:right w:w="120" w:type="dxa"/>
              <w:bottom w:w="80" w:type="dxa"/>
            </w:tcMar>
            <w:tcW w:w="4392" w:type="dxa"/>
            <w:vAlign w:val="center"/>
            <w:textDirection w:val="lrTb"/>
            <w:noWrap w:val="false"/>
          </w:tcPr>
          <w:p>
            <w:pPr>
              <w:pBdr/>
              <w:spacing w:after="0" w:line="252" w:lineRule="auto"/>
              <w:ind/>
              <w:jc w:val="left"/>
              <w:rPr/>
            </w:pPr>
            <w:r>
              <w:rPr>
                <w:rFonts w:ascii="Calibri" w:hAnsi="Calibri"/>
                <w:b w:val="0"/>
                <w:i w:val="0"/>
                <w:color w:val="111111"/>
                <w:sz w:val="16"/>
              </w:rPr>
              <w:t xml:space="preserve">Managing Pre-Deployment Mission-Oriented Service Ecosystems: A Multi-Stakeholder Recommendation Core and Digital-Twin Design Method</w:t>
            </w:r>
            <w:r/>
          </w:p>
        </w:tc>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6"/>
              </w:rPr>
              <w:t xml:space="preserve">IEEE Transactions on Engineering Management</w:t>
            </w:r>
            <w:r/>
          </w:p>
        </w:tc>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6"/>
              </w:rPr>
              <w:t xml:space="preserve">Q1</w:t>
            </w:r>
            <w:r/>
          </w:p>
        </w:tc>
        <w:tc>
          <w:tcPr>
            <w:tcBorders/>
            <w:tcMar>
              <w:left w:w="120" w:type="dxa"/>
              <w:top w:w="80" w:type="dxa"/>
              <w:right w:w="120" w:type="dxa"/>
              <w:bottom w:w="80" w:type="dxa"/>
            </w:tcMar>
            <w:tcW w:w="1440" w:type="dxa"/>
            <w:vAlign w:val="center"/>
            <w:textDirection w:val="lrTb"/>
            <w:noWrap w:val="false"/>
          </w:tcPr>
          <w:p>
            <w:pPr>
              <w:pBdr/>
              <w:spacing w:after="0" w:line="252" w:lineRule="auto"/>
              <w:ind/>
              <w:jc w:val="left"/>
              <w:rPr/>
            </w:pPr>
            <w:r>
              <w:rPr>
                <w:rFonts w:ascii="Calibri" w:hAnsi="Calibri"/>
                <w:b w:val="0"/>
                <w:i w:val="0"/>
                <w:color w:val="111111"/>
                <w:sz w:val="16"/>
              </w:rPr>
              <w:t xml:space="preserve">Draft</w:t>
            </w:r>
            <w:r/>
          </w:p>
        </w:tc>
      </w:tr>
    </w:tbl>
    <w:p>
      <w:pPr>
        <w:pBdr/>
        <w:spacing w:after="0"/>
        <w:ind/>
        <w:rPr/>
      </w:pPr>
      <w:r/>
      <w:r/>
    </w:p>
    <w:p>
      <w:pPr>
        <w:pStyle w:val="714"/>
        <w:pBdr/>
        <w:spacing/>
        <w:ind/>
        <w:rPr/>
      </w:pPr>
      <w:r>
        <w:t xml:space="preserve">5. Penggunaan Dana</w:t>
      </w:r>
      <w:r/>
    </w:p>
    <w:p>
      <w:pPr>
        <w:pBdr/>
        <w:spacing/>
        <w:ind/>
        <w:rPr/>
      </w:pPr>
      <w:r>
        <w:rPr>
          <w:rFonts w:ascii="Calibri" w:hAnsi="Calibri"/>
          <w:b w:val="0"/>
          <w:i w:val="0"/>
          <w:color w:val="111111"/>
          <w:sz w:val="22"/>
        </w:rPr>
        <w:t xml:space="preserve">LPD mencatat penerimaan Rp150.000.000 dan 13 transaksi pengeluaran dengan total Rp81.480.000. Saldo Rp68.520.000 dan presentase serapan dilaporkan 54%. Perhitungan terhadap pagu menghasilkan 54,32%, sehingga perbedaan hanya akibat pembulatan. [S4]</w:t>
      </w:r>
      <w:r/>
    </w:p>
    <w:tbl>
      <w:tblPr>
        <w:tblInd w:w="120" w:type="dxa"/>
        <w:tblW w:w="9360" w:type="dxa"/>
        <w:tblBorders>
          <w:top w:val="single" w:color="b7c0c8" w:sz="6" w:space="0"/>
          <w:left w:val="single" w:color="b7c0c8" w:sz="6" w:space="0"/>
          <w:bottom w:val="single" w:color="b7c0c8" w:sz="6" w:space="0"/>
          <w:right w:val="single" w:color="b7c0c8" w:sz="6" w:space="0"/>
          <w:insideH w:val="single" w:color="b7c0c8" w:sz="6" w:space="0"/>
          <w:insideV w:val="single" w:color="b7c0c8" w:sz="6" w:space="0"/>
        </w:tblBorders>
        <w:tblLayout w:type="fixed"/>
        <w:tblLook w:val="04A0" w:firstRow="1" w:lastRow="0" w:firstColumn="1" w:lastColumn="0" w:noHBand="0" w:noVBand="1"/>
      </w:tblPr>
      <w:tblGrid>
        <w:gridCol w:w="2880"/>
        <w:gridCol w:w="6480"/>
      </w:tblGrid>
      <w:tr>
        <w:trPr>
          <w:tblHeader/>
        </w:trPr>
        <w:tc>
          <w:tcPr>
            <w:shd w:val="clear" w:color="auto" w:fill="e8eef5"/>
            <w:tcBorders/>
            <w:tcMar>
              <w:left w:w="120" w:type="dxa"/>
              <w:top w:w="80" w:type="dxa"/>
              <w:right w:w="120" w:type="dxa"/>
              <w:bottom w:w="80" w:type="dxa"/>
            </w:tcMar>
            <w:tcW w:w="2880" w:type="dxa"/>
            <w:vAlign w:val="center"/>
            <w:textDirection w:val="lrTb"/>
            <w:noWrap w:val="false"/>
          </w:tcPr>
          <w:p>
            <w:pPr>
              <w:pBdr/>
              <w:spacing w:after="0"/>
              <w:ind/>
              <w:jc w:val="center"/>
              <w:rPr/>
            </w:pPr>
            <w:r>
              <w:rPr>
                <w:rFonts w:ascii="Calibri" w:hAnsi="Calibri"/>
                <w:b/>
                <w:i w:val="0"/>
                <w:color w:val="1f4d78"/>
                <w:sz w:val="19"/>
              </w:rPr>
              <w:t xml:space="preserve">Indikator</w:t>
            </w:r>
            <w:r/>
          </w:p>
        </w:tc>
        <w:tc>
          <w:tcPr>
            <w:shd w:val="clear" w:color="auto" w:fill="e8eef5"/>
            <w:tcBorders/>
            <w:tcMar>
              <w:left w:w="120" w:type="dxa"/>
              <w:top w:w="80" w:type="dxa"/>
              <w:right w:w="120" w:type="dxa"/>
              <w:bottom w:w="80" w:type="dxa"/>
            </w:tcMar>
            <w:tcW w:w="6480" w:type="dxa"/>
            <w:vAlign w:val="center"/>
            <w:textDirection w:val="lrTb"/>
            <w:noWrap w:val="false"/>
          </w:tcPr>
          <w:p>
            <w:pPr>
              <w:pBdr/>
              <w:spacing w:after="0"/>
              <w:ind/>
              <w:jc w:val="center"/>
              <w:rPr/>
            </w:pPr>
            <w:r>
              <w:rPr>
                <w:rFonts w:ascii="Calibri" w:hAnsi="Calibri"/>
                <w:b/>
                <w:i w:val="0"/>
                <w:color w:val="1f4d78"/>
                <w:sz w:val="19"/>
              </w:rPr>
              <w:t xml:space="preserve">Nilai</w:t>
            </w:r>
            <w:r/>
          </w:p>
        </w:tc>
      </w:tr>
      <w:tr>
        <w:trPr/>
        <w:tc>
          <w:tcPr>
            <w:tcBorders/>
            <w:tcMar>
              <w:left w:w="120" w:type="dxa"/>
              <w:top w:w="80" w:type="dxa"/>
              <w:right w:w="120" w:type="dxa"/>
              <w:bottom w:w="80" w:type="dxa"/>
            </w:tcMar>
            <w:tcW w:w="2880" w:type="dxa"/>
            <w:vAlign w:val="center"/>
            <w:textDirection w:val="lrTb"/>
            <w:noWrap w:val="false"/>
          </w:tcPr>
          <w:p>
            <w:pPr>
              <w:pBdr/>
              <w:spacing w:after="0" w:line="252" w:lineRule="auto"/>
              <w:ind/>
              <w:jc w:val="left"/>
              <w:rPr/>
            </w:pPr>
            <w:r>
              <w:rPr>
                <w:rFonts w:ascii="Calibri" w:hAnsi="Calibri"/>
                <w:b w:val="0"/>
                <w:i w:val="0"/>
                <w:color w:val="111111"/>
                <w:sz w:val="19"/>
              </w:rPr>
              <w:t xml:space="preserve">Pagu/penerimaan</w:t>
            </w:r>
            <w:r/>
          </w:p>
        </w:tc>
        <w:tc>
          <w:tcPr>
            <w:tcBorders/>
            <w:tcMar>
              <w:left w:w="120" w:type="dxa"/>
              <w:top w:w="80" w:type="dxa"/>
              <w:right w:w="120" w:type="dxa"/>
              <w:bottom w:w="80" w:type="dxa"/>
            </w:tcMar>
            <w:tcW w:w="6480" w:type="dxa"/>
            <w:vAlign w:val="center"/>
            <w:textDirection w:val="lrTb"/>
            <w:noWrap w:val="false"/>
          </w:tcPr>
          <w:p>
            <w:pPr>
              <w:pBdr/>
              <w:spacing w:after="0" w:line="252" w:lineRule="auto"/>
              <w:ind/>
              <w:jc w:val="left"/>
              <w:rPr/>
            </w:pPr>
            <w:r>
              <w:rPr>
                <w:rFonts w:ascii="Calibri" w:hAnsi="Calibri"/>
                <w:b w:val="0"/>
                <w:i w:val="0"/>
                <w:color w:val="111111"/>
                <w:sz w:val="19"/>
              </w:rPr>
              <w:t xml:space="preserve">Rp150.000.000</w:t>
            </w:r>
            <w:r/>
          </w:p>
        </w:tc>
      </w:tr>
      <w:tr>
        <w:trPr/>
        <w:tc>
          <w:tcPr>
            <w:tcBorders/>
            <w:tcMar>
              <w:left w:w="120" w:type="dxa"/>
              <w:top w:w="80" w:type="dxa"/>
              <w:right w:w="120" w:type="dxa"/>
              <w:bottom w:w="80" w:type="dxa"/>
            </w:tcMar>
            <w:tcW w:w="2880" w:type="dxa"/>
            <w:vAlign w:val="center"/>
            <w:textDirection w:val="lrTb"/>
            <w:noWrap w:val="false"/>
          </w:tcPr>
          <w:p>
            <w:pPr>
              <w:pBdr/>
              <w:spacing w:after="0" w:line="252" w:lineRule="auto"/>
              <w:ind/>
              <w:jc w:val="left"/>
              <w:rPr/>
            </w:pPr>
            <w:r>
              <w:rPr>
                <w:rFonts w:ascii="Calibri" w:hAnsi="Calibri"/>
                <w:b w:val="0"/>
                <w:i w:val="0"/>
                <w:color w:val="111111"/>
                <w:sz w:val="19"/>
              </w:rPr>
              <w:t xml:space="preserve">Realisasi</w:t>
            </w:r>
            <w:r/>
          </w:p>
        </w:tc>
        <w:tc>
          <w:tcPr>
            <w:tcBorders/>
            <w:tcMar>
              <w:left w:w="120" w:type="dxa"/>
              <w:top w:w="80" w:type="dxa"/>
              <w:right w:w="120" w:type="dxa"/>
              <w:bottom w:w="80" w:type="dxa"/>
            </w:tcMar>
            <w:tcW w:w="6480" w:type="dxa"/>
            <w:vAlign w:val="center"/>
            <w:textDirection w:val="lrTb"/>
            <w:noWrap w:val="false"/>
          </w:tcPr>
          <w:p>
            <w:pPr>
              <w:pBdr/>
              <w:spacing w:after="0" w:line="252" w:lineRule="auto"/>
              <w:ind/>
              <w:jc w:val="left"/>
              <w:rPr/>
            </w:pPr>
            <w:r>
              <w:rPr>
                <w:rFonts w:ascii="Calibri" w:hAnsi="Calibri"/>
                <w:b w:val="0"/>
                <w:i w:val="0"/>
                <w:color w:val="111111"/>
                <w:sz w:val="19"/>
              </w:rPr>
              <w:t xml:space="preserve">Rp81.480.000</w:t>
            </w:r>
            <w:r/>
          </w:p>
        </w:tc>
      </w:tr>
      <w:tr>
        <w:trPr/>
        <w:tc>
          <w:tcPr>
            <w:tcBorders/>
            <w:tcMar>
              <w:left w:w="120" w:type="dxa"/>
              <w:top w:w="80" w:type="dxa"/>
              <w:right w:w="120" w:type="dxa"/>
              <w:bottom w:w="80" w:type="dxa"/>
            </w:tcMar>
            <w:tcW w:w="2880" w:type="dxa"/>
            <w:vAlign w:val="center"/>
            <w:textDirection w:val="lrTb"/>
            <w:noWrap w:val="false"/>
          </w:tcPr>
          <w:p>
            <w:pPr>
              <w:pBdr/>
              <w:spacing w:after="0" w:line="252" w:lineRule="auto"/>
              <w:ind/>
              <w:jc w:val="left"/>
              <w:rPr/>
            </w:pPr>
            <w:r>
              <w:rPr>
                <w:rFonts w:ascii="Calibri" w:hAnsi="Calibri"/>
                <w:b w:val="0"/>
                <w:i w:val="0"/>
                <w:color w:val="111111"/>
                <w:sz w:val="19"/>
              </w:rPr>
              <w:t xml:space="preserve">Saldo</w:t>
            </w:r>
            <w:r/>
          </w:p>
        </w:tc>
        <w:tc>
          <w:tcPr>
            <w:tcBorders/>
            <w:tcMar>
              <w:left w:w="120" w:type="dxa"/>
              <w:top w:w="80" w:type="dxa"/>
              <w:right w:w="120" w:type="dxa"/>
              <w:bottom w:w="80" w:type="dxa"/>
            </w:tcMar>
            <w:tcW w:w="6480" w:type="dxa"/>
            <w:vAlign w:val="center"/>
            <w:textDirection w:val="lrTb"/>
            <w:noWrap w:val="false"/>
          </w:tcPr>
          <w:p>
            <w:pPr>
              <w:pBdr/>
              <w:spacing w:after="0" w:line="252" w:lineRule="auto"/>
              <w:ind/>
              <w:jc w:val="left"/>
              <w:rPr/>
            </w:pPr>
            <w:r>
              <w:rPr>
                <w:rFonts w:ascii="Calibri" w:hAnsi="Calibri"/>
                <w:b w:val="0"/>
                <w:i w:val="0"/>
                <w:color w:val="111111"/>
                <w:sz w:val="19"/>
              </w:rPr>
              <w:t xml:space="preserve">Rp68.520.000</w:t>
            </w:r>
            <w:r/>
          </w:p>
        </w:tc>
      </w:tr>
      <w:tr>
        <w:trPr/>
        <w:tc>
          <w:tcPr>
            <w:tcBorders/>
            <w:tcMar>
              <w:left w:w="120" w:type="dxa"/>
              <w:top w:w="80" w:type="dxa"/>
              <w:right w:w="120" w:type="dxa"/>
              <w:bottom w:w="80" w:type="dxa"/>
            </w:tcMar>
            <w:tcW w:w="2880" w:type="dxa"/>
            <w:vAlign w:val="center"/>
            <w:textDirection w:val="lrTb"/>
            <w:noWrap w:val="false"/>
          </w:tcPr>
          <w:p>
            <w:pPr>
              <w:pBdr/>
              <w:spacing w:after="0" w:line="252" w:lineRule="auto"/>
              <w:ind/>
              <w:jc w:val="left"/>
              <w:rPr/>
            </w:pPr>
            <w:r>
              <w:rPr>
                <w:rFonts w:ascii="Calibri" w:hAnsi="Calibri"/>
                <w:b w:val="0"/>
                <w:i w:val="0"/>
                <w:color w:val="111111"/>
                <w:sz w:val="19"/>
              </w:rPr>
              <w:t xml:space="preserve">Serapan</w:t>
            </w:r>
            <w:r/>
          </w:p>
        </w:tc>
        <w:tc>
          <w:tcPr>
            <w:tcBorders/>
            <w:tcMar>
              <w:left w:w="120" w:type="dxa"/>
              <w:top w:w="80" w:type="dxa"/>
              <w:right w:w="120" w:type="dxa"/>
              <w:bottom w:w="80" w:type="dxa"/>
            </w:tcMar>
            <w:tcW w:w="6480" w:type="dxa"/>
            <w:vAlign w:val="center"/>
            <w:textDirection w:val="lrTb"/>
            <w:noWrap w:val="false"/>
          </w:tcPr>
          <w:p>
            <w:pPr>
              <w:pBdr/>
              <w:spacing w:after="0" w:line="252" w:lineRule="auto"/>
              <w:ind/>
              <w:jc w:val="left"/>
              <w:rPr/>
            </w:pPr>
            <w:r>
              <w:rPr>
                <w:rFonts w:ascii="Calibri" w:hAnsi="Calibri"/>
                <w:b w:val="0"/>
                <w:i w:val="0"/>
                <w:color w:val="111111"/>
                <w:sz w:val="19"/>
              </w:rPr>
              <w:t xml:space="preserve">54% (LPD); 54,32% (perhitungan)</w:t>
            </w:r>
            <w:r/>
          </w:p>
        </w:tc>
      </w:tr>
      <w:tr>
        <w:trPr/>
        <w:tc>
          <w:tcPr>
            <w:tcBorders/>
            <w:tcMar>
              <w:left w:w="120" w:type="dxa"/>
              <w:top w:w="80" w:type="dxa"/>
              <w:right w:w="120" w:type="dxa"/>
              <w:bottom w:w="80" w:type="dxa"/>
            </w:tcMar>
            <w:tcW w:w="2880" w:type="dxa"/>
            <w:vAlign w:val="center"/>
            <w:textDirection w:val="lrTb"/>
            <w:noWrap w:val="false"/>
          </w:tcPr>
          <w:p>
            <w:pPr>
              <w:pBdr/>
              <w:spacing w:after="0" w:line="252" w:lineRule="auto"/>
              <w:ind/>
              <w:jc w:val="left"/>
              <w:rPr/>
            </w:pPr>
            <w:r>
              <w:rPr>
                <w:rFonts w:ascii="Calibri" w:hAnsi="Calibri"/>
                <w:b w:val="0"/>
                <w:i w:val="0"/>
                <w:color w:val="111111"/>
                <w:sz w:val="19"/>
              </w:rPr>
              <w:t xml:space="preserve">Cakupan transaksi</w:t>
            </w:r>
            <w:r/>
          </w:p>
        </w:tc>
        <w:tc>
          <w:tcPr>
            <w:tcBorders/>
            <w:tcMar>
              <w:left w:w="120" w:type="dxa"/>
              <w:top w:w="80" w:type="dxa"/>
              <w:right w:w="120" w:type="dxa"/>
              <w:bottom w:w="80" w:type="dxa"/>
            </w:tcMar>
            <w:tcW w:w="6480" w:type="dxa"/>
            <w:vAlign w:val="center"/>
            <w:textDirection w:val="lrTb"/>
            <w:noWrap w:val="false"/>
          </w:tcPr>
          <w:p>
            <w:pPr>
              <w:pBdr/>
              <w:spacing w:after="0" w:line="252" w:lineRule="auto"/>
              <w:ind/>
              <w:jc w:val="left"/>
              <w:rPr/>
            </w:pPr>
            <w:r>
              <w:rPr>
                <w:rFonts w:ascii="Calibri" w:hAnsi="Calibri"/>
                <w:b w:val="0"/>
                <w:i w:val="0"/>
                <w:color w:val="111111"/>
                <w:sz w:val="19"/>
              </w:rPr>
              <w:t xml:space="preserve">28 April - 28 Juli 2026; laporan ditandatangani/dinyatakan Agustus 2026</w:t>
            </w:r>
            <w:r/>
          </w:p>
        </w:tc>
      </w:tr>
    </w:tbl>
    <w:p>
      <w:pPr>
        <w:pBdr/>
        <w:spacing w:after="0"/>
        <w:ind/>
        <w:rPr/>
      </w:pPr>
      <w:r/>
      <w:r/>
    </w:p>
    <w:tbl>
      <w:tblPr>
        <w:tblInd w:w="120" w:type="dxa"/>
        <w:tblW w:w="9360" w:type="dxa"/>
        <w:tblBorders>
          <w:top w:val="single" w:color="b7c0c8" w:sz="6" w:space="0"/>
          <w:left w:val="single" w:color="b7c0c8" w:sz="6" w:space="0"/>
          <w:bottom w:val="single" w:color="b7c0c8" w:sz="6" w:space="0"/>
          <w:right w:val="single" w:color="b7c0c8" w:sz="6" w:space="0"/>
          <w:insideH w:val="single" w:color="b7c0c8" w:sz="6" w:space="0"/>
          <w:insideV w:val="single" w:color="b7c0c8" w:sz="6" w:space="0"/>
        </w:tblBorders>
        <w:tblLayout w:type="fixed"/>
        <w:tblLook w:val="04A0" w:firstRow="1" w:lastRow="0" w:firstColumn="1" w:lastColumn="0" w:noHBand="0" w:noVBand="1"/>
      </w:tblPr>
      <w:tblGrid>
        <w:gridCol w:w="1512"/>
        <w:gridCol w:w="1728"/>
        <w:gridCol w:w="1728"/>
        <w:gridCol w:w="1080"/>
        <w:gridCol w:w="3312"/>
      </w:tblGrid>
      <w:tr>
        <w:trPr>
          <w:tblHeader/>
        </w:trPr>
        <w:tc>
          <w:tcPr>
            <w:shd w:val="clear" w:color="auto" w:fill="f2f4f7"/>
            <w:tcBorders/>
            <w:tcMar>
              <w:left w:w="120" w:type="dxa"/>
              <w:top w:w="80" w:type="dxa"/>
              <w:right w:w="120" w:type="dxa"/>
              <w:bottom w:w="80" w:type="dxa"/>
            </w:tcMar>
            <w:tcW w:w="1512" w:type="dxa"/>
            <w:vAlign w:val="center"/>
            <w:textDirection w:val="lrTb"/>
            <w:noWrap w:val="false"/>
          </w:tcPr>
          <w:p>
            <w:pPr>
              <w:pBdr/>
              <w:spacing w:after="0"/>
              <w:ind/>
              <w:jc w:val="center"/>
              <w:rPr/>
            </w:pPr>
            <w:r>
              <w:rPr>
                <w:rFonts w:ascii="Calibri" w:hAnsi="Calibri"/>
                <w:b/>
                <w:i w:val="0"/>
                <w:color w:val="1f4d78"/>
                <w:sz w:val="16"/>
              </w:rPr>
              <w:t xml:space="preserve">Kategori</w:t>
            </w:r>
            <w:r/>
          </w:p>
        </w:tc>
        <w:tc>
          <w:tcPr>
            <w:shd w:val="clear" w:color="auto" w:fill="f2f4f7"/>
            <w:tcBorders/>
            <w:tcMar>
              <w:left w:w="120" w:type="dxa"/>
              <w:top w:w="80" w:type="dxa"/>
              <w:right w:w="120" w:type="dxa"/>
              <w:bottom w:w="80" w:type="dxa"/>
            </w:tcMar>
            <w:tcW w:w="1728" w:type="dxa"/>
            <w:vAlign w:val="center"/>
            <w:textDirection w:val="lrTb"/>
            <w:noWrap w:val="false"/>
          </w:tcPr>
          <w:p>
            <w:pPr>
              <w:pBdr/>
              <w:spacing w:after="0"/>
              <w:ind/>
              <w:jc w:val="center"/>
              <w:rPr/>
            </w:pPr>
            <w:r>
              <w:rPr>
                <w:rFonts w:ascii="Calibri" w:hAnsi="Calibri"/>
                <w:b/>
                <w:i w:val="0"/>
                <w:color w:val="1f4d78"/>
                <w:sz w:val="16"/>
              </w:rPr>
              <w:t xml:space="preserve">RAB Proposal</w:t>
            </w:r>
            <w:r/>
          </w:p>
        </w:tc>
        <w:tc>
          <w:tcPr>
            <w:shd w:val="clear" w:color="auto" w:fill="f2f4f7"/>
            <w:tcBorders/>
            <w:tcMar>
              <w:left w:w="120" w:type="dxa"/>
              <w:top w:w="80" w:type="dxa"/>
              <w:right w:w="120" w:type="dxa"/>
              <w:bottom w:w="80" w:type="dxa"/>
            </w:tcMar>
            <w:tcW w:w="1728" w:type="dxa"/>
            <w:vAlign w:val="center"/>
            <w:textDirection w:val="lrTb"/>
            <w:noWrap w:val="false"/>
          </w:tcPr>
          <w:p>
            <w:pPr>
              <w:pBdr/>
              <w:spacing w:after="0"/>
              <w:ind/>
              <w:jc w:val="center"/>
              <w:rPr/>
            </w:pPr>
            <w:r>
              <w:rPr>
                <w:rFonts w:ascii="Calibri" w:hAnsi="Calibri"/>
                <w:b/>
                <w:i w:val="0"/>
                <w:color w:val="1f4d78"/>
                <w:sz w:val="16"/>
              </w:rPr>
              <w:t xml:space="preserve">Realisasi LPD</w:t>
            </w:r>
            <w:r/>
          </w:p>
        </w:tc>
        <w:tc>
          <w:tcPr>
            <w:shd w:val="clear" w:color="auto" w:fill="f2f4f7"/>
            <w:tcBorders/>
            <w:tcMar>
              <w:left w:w="120" w:type="dxa"/>
              <w:top w:w="80" w:type="dxa"/>
              <w:right w:w="120" w:type="dxa"/>
              <w:bottom w:w="80" w:type="dxa"/>
            </w:tcMar>
            <w:tcW w:w="1080" w:type="dxa"/>
            <w:vAlign w:val="center"/>
            <w:textDirection w:val="lrTb"/>
            <w:noWrap w:val="false"/>
          </w:tcPr>
          <w:p>
            <w:pPr>
              <w:pBdr/>
              <w:spacing w:after="0"/>
              <w:ind/>
              <w:jc w:val="center"/>
              <w:rPr/>
            </w:pPr>
            <w:r>
              <w:rPr>
                <w:rFonts w:ascii="Calibri" w:hAnsi="Calibri"/>
                <w:b/>
                <w:i w:val="0"/>
                <w:color w:val="1f4d78"/>
                <w:sz w:val="16"/>
              </w:rPr>
              <w:t xml:space="preserve">Serapan</w:t>
            </w:r>
            <w:r/>
          </w:p>
        </w:tc>
        <w:tc>
          <w:tcPr>
            <w:shd w:val="clear" w:color="auto" w:fill="f2f4f7"/>
            <w:tcBorders/>
            <w:tcMar>
              <w:left w:w="120" w:type="dxa"/>
              <w:top w:w="80" w:type="dxa"/>
              <w:right w:w="120" w:type="dxa"/>
              <w:bottom w:w="80" w:type="dxa"/>
            </w:tcMar>
            <w:tcW w:w="3312" w:type="dxa"/>
            <w:vAlign w:val="center"/>
            <w:textDirection w:val="lrTb"/>
            <w:noWrap w:val="false"/>
          </w:tcPr>
          <w:p>
            <w:pPr>
              <w:pBdr/>
              <w:spacing w:after="0"/>
              <w:ind/>
              <w:jc w:val="center"/>
              <w:rPr/>
            </w:pPr>
            <w:r>
              <w:rPr>
                <w:rFonts w:ascii="Calibri" w:hAnsi="Calibri"/>
                <w:b/>
                <w:i w:val="0"/>
                <w:color w:val="1f4d78"/>
                <w:sz w:val="16"/>
              </w:rPr>
              <w:t xml:space="preserve">Keterangan</w:t>
            </w:r>
            <w:r/>
          </w:p>
        </w:tc>
      </w:tr>
      <w:tr>
        <w:trPr/>
        <w:tc>
          <w:tcPr>
            <w:tcBorders/>
            <w:tcMar>
              <w:left w:w="120" w:type="dxa"/>
              <w:top w:w="80" w:type="dxa"/>
              <w:right w:w="120" w:type="dxa"/>
              <w:bottom w:w="80" w:type="dxa"/>
            </w:tcMar>
            <w:tcW w:w="1512" w:type="dxa"/>
            <w:vAlign w:val="center"/>
            <w:textDirection w:val="lrTb"/>
            <w:noWrap w:val="false"/>
          </w:tcPr>
          <w:p>
            <w:pPr>
              <w:pBdr/>
              <w:spacing w:after="0" w:line="252" w:lineRule="auto"/>
              <w:ind/>
              <w:jc w:val="center"/>
              <w:rPr/>
            </w:pPr>
            <w:r>
              <w:rPr>
                <w:rFonts w:ascii="Calibri" w:hAnsi="Calibri"/>
                <w:b w:val="0"/>
                <w:i w:val="0"/>
                <w:color w:val="111111"/>
                <w:sz w:val="16"/>
              </w:rPr>
              <w:t xml:space="preserve">Pegawai</w:t>
            </w:r>
            <w:r/>
          </w:p>
        </w:tc>
        <w:tc>
          <w:tcPr>
            <w:tcBorders/>
            <w:tcMar>
              <w:left w:w="120" w:type="dxa"/>
              <w:top w:w="80" w:type="dxa"/>
              <w:right w:w="120" w:type="dxa"/>
              <w:bottom w:w="80" w:type="dxa"/>
            </w:tcMar>
            <w:tcW w:w="1728" w:type="dxa"/>
            <w:vAlign w:val="center"/>
            <w:textDirection w:val="lrTb"/>
            <w:noWrap w:val="false"/>
          </w:tcPr>
          <w:p>
            <w:pPr>
              <w:pBdr/>
              <w:spacing w:after="0" w:line="252" w:lineRule="auto"/>
              <w:ind/>
              <w:jc w:val="left"/>
              <w:rPr/>
            </w:pPr>
            <w:r>
              <w:rPr>
                <w:rFonts w:ascii="Calibri" w:hAnsi="Calibri"/>
                <w:b w:val="0"/>
                <w:i w:val="0"/>
                <w:color w:val="111111"/>
                <w:sz w:val="16"/>
              </w:rPr>
              <w:t xml:space="preserve">Rp59.040.000</w:t>
            </w:r>
            <w:r/>
          </w:p>
        </w:tc>
        <w:tc>
          <w:tcPr>
            <w:tcBorders/>
            <w:tcMar>
              <w:left w:w="120" w:type="dxa"/>
              <w:top w:w="80" w:type="dxa"/>
              <w:right w:w="120" w:type="dxa"/>
              <w:bottom w:w="80" w:type="dxa"/>
            </w:tcMar>
            <w:tcW w:w="1728" w:type="dxa"/>
            <w:vAlign w:val="center"/>
            <w:textDirection w:val="lrTb"/>
            <w:noWrap w:val="false"/>
          </w:tcPr>
          <w:p>
            <w:pPr>
              <w:pBdr/>
              <w:spacing w:after="0" w:line="252" w:lineRule="auto"/>
              <w:ind/>
              <w:jc w:val="left"/>
              <w:rPr/>
            </w:pPr>
            <w:r>
              <w:rPr>
                <w:rFonts w:ascii="Calibri" w:hAnsi="Calibri"/>
                <w:b w:val="0"/>
                <w:i w:val="0"/>
                <w:color w:val="111111"/>
                <w:sz w:val="16"/>
              </w:rPr>
              <w:t xml:space="preserve">Rp26.240.000</w:t>
            </w:r>
            <w:r/>
          </w:p>
        </w:tc>
        <w:tc>
          <w:tcPr>
            <w:tcBorders/>
            <w:tcMar>
              <w:left w:w="120" w:type="dxa"/>
              <w:top w:w="80" w:type="dxa"/>
              <w:right w:w="120" w:type="dxa"/>
              <w:bottom w:w="80" w:type="dxa"/>
            </w:tcMar>
            <w:tcW w:w="1080" w:type="dxa"/>
            <w:vAlign w:val="center"/>
            <w:textDirection w:val="lrTb"/>
            <w:noWrap w:val="false"/>
          </w:tcPr>
          <w:p>
            <w:pPr>
              <w:pBdr/>
              <w:spacing w:after="0" w:line="252" w:lineRule="auto"/>
              <w:ind/>
              <w:jc w:val="left"/>
              <w:rPr/>
            </w:pPr>
            <w:r>
              <w:rPr>
                <w:rFonts w:ascii="Calibri" w:hAnsi="Calibri"/>
                <w:b w:val="0"/>
                <w:i w:val="0"/>
                <w:color w:val="111111"/>
                <w:sz w:val="16"/>
              </w:rPr>
              <w:t xml:space="preserve">44,4%</w:t>
            </w:r>
            <w:r/>
          </w:p>
        </w:tc>
        <w:tc>
          <w:tcPr>
            <w:tcBorders/>
            <w:tcMar>
              <w:left w:w="120" w:type="dxa"/>
              <w:top w:w="80" w:type="dxa"/>
              <w:right w:w="120" w:type="dxa"/>
              <w:bottom w:w="80" w:type="dxa"/>
            </w:tcMar>
            <w:tcW w:w="3312" w:type="dxa"/>
            <w:vAlign w:val="center"/>
            <w:textDirection w:val="lrTb"/>
            <w:noWrap w:val="false"/>
          </w:tcPr>
          <w:p>
            <w:pPr>
              <w:pBdr/>
              <w:spacing w:after="0" w:line="252" w:lineRule="auto"/>
              <w:ind/>
              <w:jc w:val="left"/>
              <w:rPr/>
            </w:pPr>
            <w:r>
              <w:rPr>
                <w:rFonts w:ascii="Calibri" w:hAnsi="Calibri"/>
                <w:b w:val="0"/>
                <w:i w:val="0"/>
                <w:color w:val="111111"/>
                <w:sz w:val="16"/>
              </w:rPr>
              <w:t xml:space="preserve">Empat pembayaran honor kegiatan April-Juli.</w:t>
            </w:r>
            <w:r/>
          </w:p>
        </w:tc>
      </w:tr>
      <w:tr>
        <w:trPr/>
        <w:tc>
          <w:tcPr>
            <w:tcBorders/>
            <w:tcMar>
              <w:left w:w="120" w:type="dxa"/>
              <w:top w:w="80" w:type="dxa"/>
              <w:right w:w="120" w:type="dxa"/>
              <w:bottom w:w="80" w:type="dxa"/>
            </w:tcMar>
            <w:tcW w:w="1512" w:type="dxa"/>
            <w:vAlign w:val="center"/>
            <w:textDirection w:val="lrTb"/>
            <w:noWrap w:val="false"/>
          </w:tcPr>
          <w:p>
            <w:pPr>
              <w:pBdr/>
              <w:spacing w:after="0" w:line="252" w:lineRule="auto"/>
              <w:ind/>
              <w:jc w:val="center"/>
              <w:rPr/>
            </w:pPr>
            <w:r>
              <w:rPr>
                <w:rFonts w:ascii="Calibri" w:hAnsi="Calibri"/>
                <w:b w:val="0"/>
                <w:i w:val="0"/>
                <w:color w:val="111111"/>
                <w:sz w:val="16"/>
              </w:rPr>
              <w:t xml:space="preserve">Barang</w:t>
            </w:r>
            <w:r/>
          </w:p>
        </w:tc>
        <w:tc>
          <w:tcPr>
            <w:tcBorders/>
            <w:tcMar>
              <w:left w:w="120" w:type="dxa"/>
              <w:top w:w="80" w:type="dxa"/>
              <w:right w:w="120" w:type="dxa"/>
              <w:bottom w:w="80" w:type="dxa"/>
            </w:tcMar>
            <w:tcW w:w="1728" w:type="dxa"/>
            <w:vAlign w:val="center"/>
            <w:textDirection w:val="lrTb"/>
            <w:noWrap w:val="false"/>
          </w:tcPr>
          <w:p>
            <w:pPr>
              <w:pBdr/>
              <w:spacing w:after="0" w:line="252" w:lineRule="auto"/>
              <w:ind/>
              <w:jc w:val="left"/>
              <w:rPr/>
            </w:pPr>
            <w:r>
              <w:rPr>
                <w:rFonts w:ascii="Calibri" w:hAnsi="Calibri"/>
                <w:b w:val="0"/>
                <w:i w:val="0"/>
                <w:color w:val="111111"/>
                <w:sz w:val="16"/>
              </w:rPr>
              <w:t xml:space="preserve">Rp23.340.000</w:t>
            </w:r>
            <w:r/>
          </w:p>
        </w:tc>
        <w:tc>
          <w:tcPr>
            <w:tcBorders/>
            <w:tcMar>
              <w:left w:w="120" w:type="dxa"/>
              <w:top w:w="80" w:type="dxa"/>
              <w:right w:w="120" w:type="dxa"/>
              <w:bottom w:w="80" w:type="dxa"/>
            </w:tcMar>
            <w:tcW w:w="1728" w:type="dxa"/>
            <w:vAlign w:val="center"/>
            <w:textDirection w:val="lrTb"/>
            <w:noWrap w:val="false"/>
          </w:tcPr>
          <w:p>
            <w:pPr>
              <w:pBdr/>
              <w:spacing w:after="0" w:line="252" w:lineRule="auto"/>
              <w:ind/>
              <w:jc w:val="left"/>
              <w:rPr/>
            </w:pPr>
            <w:r>
              <w:rPr>
                <w:rFonts w:ascii="Calibri" w:hAnsi="Calibri"/>
                <w:b w:val="0"/>
                <w:i w:val="0"/>
                <w:color w:val="111111"/>
                <w:sz w:val="16"/>
              </w:rPr>
              <w:t xml:space="preserve">Rp15.840.000</w:t>
            </w:r>
            <w:r/>
          </w:p>
        </w:tc>
        <w:tc>
          <w:tcPr>
            <w:tcBorders/>
            <w:tcMar>
              <w:left w:w="120" w:type="dxa"/>
              <w:top w:w="80" w:type="dxa"/>
              <w:right w:w="120" w:type="dxa"/>
              <w:bottom w:w="80" w:type="dxa"/>
            </w:tcMar>
            <w:tcW w:w="1080" w:type="dxa"/>
            <w:vAlign w:val="center"/>
            <w:textDirection w:val="lrTb"/>
            <w:noWrap w:val="false"/>
          </w:tcPr>
          <w:p>
            <w:pPr>
              <w:pBdr/>
              <w:spacing w:after="0" w:line="252" w:lineRule="auto"/>
              <w:ind/>
              <w:jc w:val="left"/>
              <w:rPr/>
            </w:pPr>
            <w:r>
              <w:rPr>
                <w:rFonts w:ascii="Calibri" w:hAnsi="Calibri"/>
                <w:b w:val="0"/>
                <w:i w:val="0"/>
                <w:color w:val="111111"/>
                <w:sz w:val="16"/>
              </w:rPr>
              <w:t xml:space="preserve">67,9%</w:t>
            </w:r>
            <w:r/>
          </w:p>
        </w:tc>
        <w:tc>
          <w:tcPr>
            <w:tcBorders/>
            <w:tcMar>
              <w:left w:w="120" w:type="dxa"/>
              <w:top w:w="80" w:type="dxa"/>
              <w:right w:w="120" w:type="dxa"/>
              <w:bottom w:w="80" w:type="dxa"/>
            </w:tcMar>
            <w:tcW w:w="3312" w:type="dxa"/>
            <w:vAlign w:val="center"/>
            <w:textDirection w:val="lrTb"/>
            <w:noWrap w:val="false"/>
          </w:tcPr>
          <w:p>
            <w:pPr>
              <w:pBdr/>
              <w:spacing w:after="0" w:line="252" w:lineRule="auto"/>
              <w:ind/>
              <w:jc w:val="left"/>
              <w:rPr/>
            </w:pPr>
            <w:r>
              <w:rPr>
                <w:rFonts w:ascii="Calibri" w:hAnsi="Calibri"/>
                <w:b w:val="0"/>
                <w:i w:val="0"/>
                <w:color w:val="111111"/>
                <w:sz w:val="16"/>
              </w:rPr>
              <w:t xml:space="preserve">Dua transaksi aksesori komputer.</w:t>
            </w:r>
            <w:r/>
          </w:p>
        </w:tc>
      </w:tr>
      <w:tr>
        <w:trPr/>
        <w:tc>
          <w:tcPr>
            <w:tcBorders/>
            <w:tcMar>
              <w:left w:w="120" w:type="dxa"/>
              <w:top w:w="80" w:type="dxa"/>
              <w:right w:w="120" w:type="dxa"/>
              <w:bottom w:w="80" w:type="dxa"/>
            </w:tcMar>
            <w:tcW w:w="1512" w:type="dxa"/>
            <w:vAlign w:val="center"/>
            <w:textDirection w:val="lrTb"/>
            <w:noWrap w:val="false"/>
          </w:tcPr>
          <w:p>
            <w:pPr>
              <w:pBdr/>
              <w:spacing w:after="0" w:line="252" w:lineRule="auto"/>
              <w:ind/>
              <w:jc w:val="center"/>
              <w:rPr/>
            </w:pPr>
            <w:r>
              <w:rPr>
                <w:rFonts w:ascii="Calibri" w:hAnsi="Calibri"/>
                <w:b w:val="0"/>
                <w:i w:val="0"/>
                <w:color w:val="111111"/>
                <w:sz w:val="16"/>
              </w:rPr>
              <w:t xml:space="preserve">Jasa</w:t>
            </w:r>
            <w:r/>
          </w:p>
        </w:tc>
        <w:tc>
          <w:tcPr>
            <w:tcBorders/>
            <w:tcMar>
              <w:left w:w="120" w:type="dxa"/>
              <w:top w:w="80" w:type="dxa"/>
              <w:right w:w="120" w:type="dxa"/>
              <w:bottom w:w="80" w:type="dxa"/>
            </w:tcMar>
            <w:tcW w:w="1728" w:type="dxa"/>
            <w:vAlign w:val="center"/>
            <w:textDirection w:val="lrTb"/>
            <w:noWrap w:val="false"/>
          </w:tcPr>
          <w:p>
            <w:pPr>
              <w:pBdr/>
              <w:spacing w:after="0" w:line="252" w:lineRule="auto"/>
              <w:ind/>
              <w:jc w:val="left"/>
              <w:rPr/>
            </w:pPr>
            <w:r>
              <w:rPr>
                <w:rFonts w:ascii="Calibri" w:hAnsi="Calibri"/>
                <w:b w:val="0"/>
                <w:i w:val="0"/>
                <w:color w:val="111111"/>
                <w:sz w:val="16"/>
              </w:rPr>
              <w:t xml:space="preserve">Rp67.620.000</w:t>
            </w:r>
            <w:r/>
          </w:p>
        </w:tc>
        <w:tc>
          <w:tcPr>
            <w:tcBorders/>
            <w:tcMar>
              <w:left w:w="120" w:type="dxa"/>
              <w:top w:w="80" w:type="dxa"/>
              <w:right w:w="120" w:type="dxa"/>
              <w:bottom w:w="80" w:type="dxa"/>
            </w:tcMar>
            <w:tcW w:w="1728" w:type="dxa"/>
            <w:vAlign w:val="center"/>
            <w:textDirection w:val="lrTb"/>
            <w:noWrap w:val="false"/>
          </w:tcPr>
          <w:p>
            <w:pPr>
              <w:pBdr/>
              <w:spacing w:after="0" w:line="252" w:lineRule="auto"/>
              <w:ind/>
              <w:jc w:val="left"/>
              <w:rPr/>
            </w:pPr>
            <w:r>
              <w:rPr>
                <w:rFonts w:ascii="Calibri" w:hAnsi="Calibri"/>
                <w:b w:val="0"/>
                <w:i w:val="0"/>
                <w:color w:val="111111"/>
                <w:sz w:val="16"/>
              </w:rPr>
              <w:t xml:space="preserve">Rp29.000.000</w:t>
            </w:r>
            <w:r/>
          </w:p>
        </w:tc>
        <w:tc>
          <w:tcPr>
            <w:tcBorders/>
            <w:tcMar>
              <w:left w:w="120" w:type="dxa"/>
              <w:top w:w="80" w:type="dxa"/>
              <w:right w:w="120" w:type="dxa"/>
              <w:bottom w:w="80" w:type="dxa"/>
            </w:tcMar>
            <w:tcW w:w="1080" w:type="dxa"/>
            <w:vAlign w:val="center"/>
            <w:textDirection w:val="lrTb"/>
            <w:noWrap w:val="false"/>
          </w:tcPr>
          <w:p>
            <w:pPr>
              <w:pBdr/>
              <w:spacing w:after="0" w:line="252" w:lineRule="auto"/>
              <w:ind/>
              <w:jc w:val="left"/>
              <w:rPr/>
            </w:pPr>
            <w:r>
              <w:rPr>
                <w:rFonts w:ascii="Calibri" w:hAnsi="Calibri"/>
                <w:b w:val="0"/>
                <w:i w:val="0"/>
                <w:color w:val="111111"/>
                <w:sz w:val="16"/>
              </w:rPr>
              <w:t xml:space="preserve">42,9%</w:t>
            </w:r>
            <w:r/>
          </w:p>
        </w:tc>
        <w:tc>
          <w:tcPr>
            <w:tcBorders/>
            <w:tcMar>
              <w:left w:w="120" w:type="dxa"/>
              <w:top w:w="80" w:type="dxa"/>
              <w:right w:w="120" w:type="dxa"/>
              <w:bottom w:w="80" w:type="dxa"/>
            </w:tcMar>
            <w:tcW w:w="3312" w:type="dxa"/>
            <w:vAlign w:val="center"/>
            <w:textDirection w:val="lrTb"/>
            <w:noWrap w:val="false"/>
          </w:tcPr>
          <w:p>
            <w:pPr>
              <w:pBdr/>
              <w:spacing w:after="0" w:line="252" w:lineRule="auto"/>
              <w:ind/>
              <w:jc w:val="left"/>
              <w:rPr/>
            </w:pPr>
            <w:r>
              <w:rPr>
                <w:rFonts w:ascii="Calibri" w:hAnsi="Calibri"/>
                <w:b w:val="0"/>
                <w:i w:val="0"/>
                <w:color w:val="111111"/>
                <w:sz w:val="16"/>
              </w:rPr>
              <w:t xml:space="preserve">Honor jasa civitas, sewa alat, dan pengolahan data.</w:t>
            </w:r>
            <w:r/>
          </w:p>
        </w:tc>
      </w:tr>
      <w:tr>
        <w:trPr/>
        <w:tc>
          <w:tcPr>
            <w:tcBorders/>
            <w:tcMar>
              <w:left w:w="120" w:type="dxa"/>
              <w:top w:w="80" w:type="dxa"/>
              <w:right w:w="120" w:type="dxa"/>
              <w:bottom w:w="80" w:type="dxa"/>
            </w:tcMar>
            <w:tcW w:w="1512" w:type="dxa"/>
            <w:vAlign w:val="center"/>
            <w:textDirection w:val="lrTb"/>
            <w:noWrap w:val="false"/>
          </w:tcPr>
          <w:p>
            <w:pPr>
              <w:pBdr/>
              <w:spacing w:after="0" w:line="252" w:lineRule="auto"/>
              <w:ind/>
              <w:jc w:val="center"/>
              <w:rPr/>
            </w:pPr>
            <w:r>
              <w:rPr>
                <w:rFonts w:ascii="Calibri" w:hAnsi="Calibri"/>
                <w:b w:val="0"/>
                <w:i w:val="0"/>
                <w:color w:val="111111"/>
                <w:sz w:val="16"/>
              </w:rPr>
              <w:t xml:space="preserve">Modal</w:t>
            </w:r>
            <w:r/>
          </w:p>
        </w:tc>
        <w:tc>
          <w:tcPr>
            <w:tcBorders/>
            <w:tcMar>
              <w:left w:w="120" w:type="dxa"/>
              <w:top w:w="80" w:type="dxa"/>
              <w:right w:w="120" w:type="dxa"/>
              <w:bottom w:w="80" w:type="dxa"/>
            </w:tcMar>
            <w:tcW w:w="1728" w:type="dxa"/>
            <w:vAlign w:val="center"/>
            <w:textDirection w:val="lrTb"/>
            <w:noWrap w:val="false"/>
          </w:tcPr>
          <w:p>
            <w:pPr>
              <w:pBdr/>
              <w:spacing w:after="0" w:line="252" w:lineRule="auto"/>
              <w:ind/>
              <w:jc w:val="left"/>
              <w:rPr/>
            </w:pPr>
            <w:r>
              <w:rPr>
                <w:rFonts w:ascii="Calibri" w:hAnsi="Calibri"/>
                <w:b w:val="0"/>
                <w:i w:val="0"/>
                <w:color w:val="111111"/>
                <w:sz w:val="16"/>
              </w:rPr>
              <w:t xml:space="preserve">Tidak terpisah</w:t>
            </w:r>
            <w:r/>
          </w:p>
        </w:tc>
        <w:tc>
          <w:tcPr>
            <w:tcBorders/>
            <w:tcMar>
              <w:left w:w="120" w:type="dxa"/>
              <w:top w:w="80" w:type="dxa"/>
              <w:right w:w="120" w:type="dxa"/>
              <w:bottom w:w="80" w:type="dxa"/>
            </w:tcMar>
            <w:tcW w:w="1728" w:type="dxa"/>
            <w:vAlign w:val="center"/>
            <w:textDirection w:val="lrTb"/>
            <w:noWrap w:val="false"/>
          </w:tcPr>
          <w:p>
            <w:pPr>
              <w:pBdr/>
              <w:spacing w:after="0" w:line="252" w:lineRule="auto"/>
              <w:ind/>
              <w:jc w:val="left"/>
              <w:rPr/>
            </w:pPr>
            <w:r>
              <w:rPr>
                <w:rFonts w:ascii="Calibri" w:hAnsi="Calibri"/>
                <w:b w:val="0"/>
                <w:i w:val="0"/>
                <w:color w:val="111111"/>
                <w:sz w:val="16"/>
              </w:rPr>
              <w:t xml:space="preserve">Rp10.400.000</w:t>
            </w:r>
            <w:r/>
          </w:p>
        </w:tc>
        <w:tc>
          <w:tcPr>
            <w:tcBorders/>
            <w:tcMar>
              <w:left w:w="120" w:type="dxa"/>
              <w:top w:w="80" w:type="dxa"/>
              <w:right w:w="120" w:type="dxa"/>
              <w:bottom w:w="80" w:type="dxa"/>
            </w:tcMar>
            <w:tcW w:w="1080" w:type="dxa"/>
            <w:vAlign w:val="center"/>
            <w:textDirection w:val="lrTb"/>
            <w:noWrap w:val="false"/>
          </w:tcPr>
          <w:p>
            <w:pPr>
              <w:pBdr/>
              <w:spacing w:after="0" w:line="252" w:lineRule="auto"/>
              <w:ind/>
              <w:jc w:val="left"/>
              <w:rPr/>
            </w:pPr>
            <w:r>
              <w:rPr>
                <w:rFonts w:ascii="Calibri" w:hAnsi="Calibri"/>
                <w:b w:val="0"/>
                <w:i w:val="0"/>
                <w:color w:val="111111"/>
                <w:sz w:val="16"/>
              </w:rPr>
              <w:t xml:space="preserve">n/a</w:t>
            </w:r>
            <w:r/>
          </w:p>
        </w:tc>
        <w:tc>
          <w:tcPr>
            <w:tcBorders/>
            <w:tcMar>
              <w:left w:w="120" w:type="dxa"/>
              <w:top w:w="80" w:type="dxa"/>
              <w:right w:w="120" w:type="dxa"/>
              <w:bottom w:w="80" w:type="dxa"/>
            </w:tcMar>
            <w:tcW w:w="3312" w:type="dxa"/>
            <w:vAlign w:val="center"/>
            <w:textDirection w:val="lrTb"/>
            <w:noWrap w:val="false"/>
          </w:tcPr>
          <w:p>
            <w:pPr>
              <w:pBdr/>
              <w:spacing w:after="0" w:line="252" w:lineRule="auto"/>
              <w:ind/>
              <w:jc w:val="left"/>
              <w:rPr/>
            </w:pPr>
            <w:r>
              <w:rPr>
                <w:rFonts w:ascii="Calibri" w:hAnsi="Calibri"/>
                <w:b w:val="0"/>
                <w:i w:val="0"/>
                <w:color w:val="111111"/>
                <w:sz w:val="16"/>
              </w:rPr>
              <w:t xml:space="preserve">Belanja modal belum tampil sebagai pos terpisah dalam RAB proposal.</w:t>
            </w:r>
            <w:r/>
          </w:p>
        </w:tc>
      </w:tr>
      <w:tr>
        <w:trPr/>
        <w:tc>
          <w:tcPr>
            <w:tcBorders/>
            <w:tcMar>
              <w:left w:w="120" w:type="dxa"/>
              <w:top w:w="80" w:type="dxa"/>
              <w:right w:w="120" w:type="dxa"/>
              <w:bottom w:w="80" w:type="dxa"/>
            </w:tcMar>
            <w:tcW w:w="1512" w:type="dxa"/>
            <w:vAlign w:val="center"/>
            <w:textDirection w:val="lrTb"/>
            <w:noWrap w:val="false"/>
          </w:tcPr>
          <w:p>
            <w:pPr>
              <w:pBdr/>
              <w:spacing w:after="0" w:line="252" w:lineRule="auto"/>
              <w:ind/>
              <w:jc w:val="center"/>
              <w:rPr/>
            </w:pPr>
            <w:r>
              <w:rPr>
                <w:rFonts w:ascii="Calibri" w:hAnsi="Calibri"/>
                <w:b w:val="0"/>
                <w:i w:val="0"/>
                <w:color w:val="111111"/>
                <w:sz w:val="16"/>
              </w:rPr>
              <w:t xml:space="preserve">Total</w:t>
            </w:r>
            <w:r/>
          </w:p>
        </w:tc>
        <w:tc>
          <w:tcPr>
            <w:tcBorders/>
            <w:tcMar>
              <w:left w:w="120" w:type="dxa"/>
              <w:top w:w="80" w:type="dxa"/>
              <w:right w:w="120" w:type="dxa"/>
              <w:bottom w:w="80" w:type="dxa"/>
            </w:tcMar>
            <w:tcW w:w="1728" w:type="dxa"/>
            <w:vAlign w:val="center"/>
            <w:textDirection w:val="lrTb"/>
            <w:noWrap w:val="false"/>
          </w:tcPr>
          <w:p>
            <w:pPr>
              <w:pBdr/>
              <w:spacing w:after="0" w:line="252" w:lineRule="auto"/>
              <w:ind/>
              <w:jc w:val="left"/>
              <w:rPr/>
            </w:pPr>
            <w:r>
              <w:rPr>
                <w:rFonts w:ascii="Calibri" w:hAnsi="Calibri"/>
                <w:b w:val="0"/>
                <w:i w:val="0"/>
                <w:color w:val="111111"/>
                <w:sz w:val="16"/>
              </w:rPr>
              <w:t xml:space="preserve">Rp150.000.000</w:t>
            </w:r>
            <w:r/>
          </w:p>
        </w:tc>
        <w:tc>
          <w:tcPr>
            <w:tcBorders/>
            <w:tcMar>
              <w:left w:w="120" w:type="dxa"/>
              <w:top w:w="80" w:type="dxa"/>
              <w:right w:w="120" w:type="dxa"/>
              <w:bottom w:w="80" w:type="dxa"/>
            </w:tcMar>
            <w:tcW w:w="1728" w:type="dxa"/>
            <w:vAlign w:val="center"/>
            <w:textDirection w:val="lrTb"/>
            <w:noWrap w:val="false"/>
          </w:tcPr>
          <w:p>
            <w:pPr>
              <w:pBdr/>
              <w:spacing w:after="0" w:line="252" w:lineRule="auto"/>
              <w:ind/>
              <w:jc w:val="left"/>
              <w:rPr/>
            </w:pPr>
            <w:r>
              <w:rPr>
                <w:rFonts w:ascii="Calibri" w:hAnsi="Calibri"/>
                <w:b w:val="0"/>
                <w:i w:val="0"/>
                <w:color w:val="111111"/>
                <w:sz w:val="16"/>
              </w:rPr>
              <w:t xml:space="preserve">Rp81.480.000</w:t>
            </w:r>
            <w:r/>
          </w:p>
        </w:tc>
        <w:tc>
          <w:tcPr>
            <w:tcBorders/>
            <w:tcMar>
              <w:left w:w="120" w:type="dxa"/>
              <w:top w:w="80" w:type="dxa"/>
              <w:right w:w="120" w:type="dxa"/>
              <w:bottom w:w="80" w:type="dxa"/>
            </w:tcMar>
            <w:tcW w:w="1080" w:type="dxa"/>
            <w:vAlign w:val="center"/>
            <w:textDirection w:val="lrTb"/>
            <w:noWrap w:val="false"/>
          </w:tcPr>
          <w:p>
            <w:pPr>
              <w:pBdr/>
              <w:spacing w:after="0" w:line="252" w:lineRule="auto"/>
              <w:ind/>
              <w:jc w:val="left"/>
              <w:rPr/>
            </w:pPr>
            <w:r>
              <w:rPr>
                <w:rFonts w:ascii="Calibri" w:hAnsi="Calibri"/>
                <w:b w:val="0"/>
                <w:i w:val="0"/>
                <w:color w:val="111111"/>
                <w:sz w:val="16"/>
              </w:rPr>
              <w:t xml:space="preserve">54,32%</w:t>
            </w:r>
            <w:r/>
          </w:p>
        </w:tc>
        <w:tc>
          <w:tcPr>
            <w:tcBorders/>
            <w:tcMar>
              <w:left w:w="120" w:type="dxa"/>
              <w:top w:w="80" w:type="dxa"/>
              <w:right w:w="120" w:type="dxa"/>
              <w:bottom w:w="80" w:type="dxa"/>
            </w:tcMar>
            <w:tcW w:w="3312" w:type="dxa"/>
            <w:vAlign w:val="center"/>
            <w:textDirection w:val="lrTb"/>
            <w:noWrap w:val="false"/>
          </w:tcPr>
          <w:p>
            <w:pPr>
              <w:pBdr/>
              <w:spacing w:after="0" w:line="252" w:lineRule="auto"/>
              <w:ind/>
              <w:jc w:val="left"/>
              <w:rPr/>
            </w:pPr>
            <w:r>
              <w:rPr>
                <w:rFonts w:ascii="Calibri" w:hAnsi="Calibri"/>
                <w:b w:val="0"/>
                <w:i w:val="0"/>
                <w:color w:val="111111"/>
                <w:sz w:val="16"/>
              </w:rPr>
              <w:t xml:space="preserve">Saldo keseluruhan Rp68.520.000.</w:t>
            </w:r>
            <w:r/>
          </w:p>
        </w:tc>
      </w:tr>
    </w:tbl>
    <w:p>
      <w:pPr>
        <w:pBdr/>
        <w:spacing w:after="0"/>
        <w:ind/>
        <w:rPr/>
      </w:pPr>
      <w:r/>
      <w:r/>
    </w:p>
    <w:p>
      <w:pPr>
        <w:pBdr/>
        <w:spacing/>
        <w:ind/>
        <w:rPr/>
      </w:pPr>
      <w:r>
        <w:rPr>
          <w:rFonts w:ascii="Calibri" w:hAnsi="Calibri"/>
          <w:b w:val="0"/>
          <w:i/>
          <w:color w:val="111111"/>
          <w:sz w:val="22"/>
        </w:rPr>
        <w:t xml:space="preserve">Catatan rekonsiliasi: perbandingan kategori bersifat indikatif. RAB proposal menggabungkan honor mahasiswa, perjalanan, </w:t>
      </w:r>
      <w:r>
        <w:rPr>
          <w:rFonts w:ascii="Calibri" w:hAnsi="Calibri"/>
          <w:b w:val="0"/>
          <w:i/>
          <w:color w:val="111111"/>
          <w:sz w:val="22"/>
        </w:rPr>
        <w:t xml:space="preserve">AI/hosting, internet/cloud, serta registrasi/publikasi di kelompok jasa; LPD menggunakan klasifikasi pegawai, barang, jasa, dan modal. Belanja modal Rp10.400.000 perlu dipetakan secara administratif ke pos RAB yang disetujui sebelum laporan akhir. [S1][S4]</w:t>
      </w:r>
      <w:r/>
    </w:p>
    <w:p>
      <w:pPr>
        <w:pStyle w:val="714"/>
        <w:pBdr/>
        <w:spacing/>
        <w:ind/>
        <w:rPr/>
      </w:pPr>
      <w:r>
        <w:t xml:space="preserve">6. Isu, Risiko, dan Tindakan Korektif</w:t>
      </w:r>
      <w:r/>
    </w:p>
    <w:tbl>
      <w:tblPr>
        <w:tblInd w:w="120" w:type="dxa"/>
        <w:tblW w:w="9360" w:type="dxa"/>
        <w:tblBorders>
          <w:top w:val="single" w:color="b7c0c8" w:sz="6" w:space="0"/>
          <w:left w:val="single" w:color="b7c0c8" w:sz="6" w:space="0"/>
          <w:bottom w:val="single" w:color="b7c0c8" w:sz="6" w:space="0"/>
          <w:right w:val="single" w:color="b7c0c8" w:sz="6" w:space="0"/>
          <w:insideH w:val="single" w:color="b7c0c8" w:sz="6" w:space="0"/>
          <w:insideV w:val="single" w:color="b7c0c8" w:sz="6" w:space="0"/>
        </w:tblBorders>
        <w:tblLayout w:type="fixed"/>
        <w:tblLook w:val="04A0" w:firstRow="1" w:lastRow="0" w:firstColumn="1" w:lastColumn="0" w:noHBand="0" w:noVBand="1"/>
      </w:tblPr>
      <w:tblGrid>
        <w:gridCol w:w="2376"/>
        <w:gridCol w:w="1152"/>
        <w:gridCol w:w="5832"/>
      </w:tblGrid>
      <w:tr>
        <w:trPr>
          <w:tblHeader/>
        </w:trPr>
        <w:tc>
          <w:tcPr>
            <w:shd w:val="clear" w:color="auto" w:fill="f2f4f7"/>
            <w:tcBorders/>
            <w:tcMar>
              <w:left w:w="120" w:type="dxa"/>
              <w:top w:w="80" w:type="dxa"/>
              <w:right w:w="120" w:type="dxa"/>
              <w:bottom w:w="80" w:type="dxa"/>
            </w:tcMar>
            <w:tcW w:w="2376" w:type="dxa"/>
            <w:vAlign w:val="center"/>
            <w:textDirection w:val="lrTb"/>
            <w:noWrap w:val="false"/>
          </w:tcPr>
          <w:p>
            <w:pPr>
              <w:pBdr/>
              <w:spacing w:after="0"/>
              <w:ind/>
              <w:jc w:val="center"/>
              <w:rPr/>
            </w:pPr>
            <w:r>
              <w:rPr>
                <w:rFonts w:ascii="Calibri" w:hAnsi="Calibri"/>
                <w:b/>
                <w:i w:val="0"/>
                <w:color w:val="1f4d78"/>
                <w:sz w:val="17"/>
              </w:rPr>
              <w:t xml:space="preserve">Isu/Risiko</w:t>
            </w:r>
            <w:r/>
          </w:p>
        </w:tc>
        <w:tc>
          <w:tcPr>
            <w:shd w:val="clear" w:color="auto" w:fill="f2f4f7"/>
            <w:tcBorders/>
            <w:tcMar>
              <w:left w:w="120" w:type="dxa"/>
              <w:top w:w="80" w:type="dxa"/>
              <w:right w:w="120" w:type="dxa"/>
              <w:bottom w:w="80" w:type="dxa"/>
            </w:tcMar>
            <w:tcW w:w="1152" w:type="dxa"/>
            <w:vAlign w:val="center"/>
            <w:textDirection w:val="lrTb"/>
            <w:noWrap w:val="false"/>
          </w:tcPr>
          <w:p>
            <w:pPr>
              <w:pBdr/>
              <w:spacing w:after="0"/>
              <w:ind/>
              <w:jc w:val="center"/>
              <w:rPr/>
            </w:pPr>
            <w:r>
              <w:rPr>
                <w:rFonts w:ascii="Calibri" w:hAnsi="Calibri"/>
                <w:b/>
                <w:i w:val="0"/>
                <w:color w:val="1f4d78"/>
                <w:sz w:val="17"/>
              </w:rPr>
              <w:t xml:space="preserve">Prioritas</w:t>
            </w:r>
            <w:r/>
          </w:p>
        </w:tc>
        <w:tc>
          <w:tcPr>
            <w:shd w:val="clear" w:color="auto" w:fill="f2f4f7"/>
            <w:tcBorders/>
            <w:tcMar>
              <w:left w:w="120" w:type="dxa"/>
              <w:top w:w="80" w:type="dxa"/>
              <w:right w:w="120" w:type="dxa"/>
              <w:bottom w:w="80" w:type="dxa"/>
            </w:tcMar>
            <w:tcW w:w="5832" w:type="dxa"/>
            <w:vAlign w:val="center"/>
            <w:textDirection w:val="lrTb"/>
            <w:noWrap w:val="false"/>
          </w:tcPr>
          <w:p>
            <w:pPr>
              <w:pBdr/>
              <w:spacing w:after="0"/>
              <w:ind/>
              <w:jc w:val="center"/>
              <w:rPr/>
            </w:pPr>
            <w:r>
              <w:rPr>
                <w:rFonts w:ascii="Calibri" w:hAnsi="Calibri"/>
                <w:b/>
                <w:i w:val="0"/>
                <w:color w:val="1f4d78"/>
                <w:sz w:val="17"/>
              </w:rPr>
              <w:t xml:space="preserve">Tindakan</w:t>
            </w:r>
            <w:r/>
          </w:p>
        </w:tc>
      </w:tr>
      <w:tr>
        <w:trPr/>
        <w:tc>
          <w:tcPr>
            <w:tcBorders/>
            <w:tcMar>
              <w:left w:w="120" w:type="dxa"/>
              <w:top w:w="80" w:type="dxa"/>
              <w:right w:w="120" w:type="dxa"/>
              <w:bottom w:w="80" w:type="dxa"/>
            </w:tcMar>
            <w:tcW w:w="2376" w:type="dxa"/>
            <w:vAlign w:val="center"/>
            <w:textDirection w:val="lrTb"/>
            <w:noWrap w:val="false"/>
          </w:tcPr>
          <w:p>
            <w:pPr>
              <w:pBdr/>
              <w:spacing w:after="0" w:line="252" w:lineRule="auto"/>
              <w:ind/>
              <w:jc w:val="left"/>
              <w:rPr/>
            </w:pPr>
            <w:r>
              <w:rPr>
                <w:rFonts w:ascii="Calibri" w:hAnsi="Calibri"/>
                <w:b w:val="0"/>
                <w:i w:val="0"/>
                <w:color w:val="111111"/>
                <w:sz w:val="17"/>
              </w:rPr>
              <w:t xml:space="preserve">Bukti empiris belum final</w:t>
            </w:r>
            <w:r/>
          </w:p>
        </w:tc>
        <w:tc>
          <w:tcPr>
            <w:tcBorders/>
            <w:tcMar>
              <w:left w:w="120" w:type="dxa"/>
              <w:top w:w="80" w:type="dxa"/>
              <w:right w:w="120" w:type="dxa"/>
              <w:bottom w:w="80" w:type="dxa"/>
            </w:tcMar>
            <w:tcW w:w="1152" w:type="dxa"/>
            <w:vAlign w:val="center"/>
            <w:textDirection w:val="lrTb"/>
            <w:noWrap w:val="false"/>
          </w:tcPr>
          <w:p>
            <w:pPr>
              <w:pBdr/>
              <w:spacing w:after="0" w:line="252" w:lineRule="auto"/>
              <w:ind/>
              <w:jc w:val="left"/>
              <w:rPr/>
            </w:pPr>
            <w:r>
              <w:rPr>
                <w:rFonts w:ascii="Calibri" w:hAnsi="Calibri"/>
                <w:b w:val="0"/>
                <w:i w:val="0"/>
                <w:color w:val="111111"/>
                <w:sz w:val="17"/>
              </w:rPr>
              <w:t xml:space="preserve">Tinggi</w:t>
            </w:r>
            <w:r/>
          </w:p>
        </w:tc>
        <w:tc>
          <w:tcPr>
            <w:tcBorders/>
            <w:tcMar>
              <w:left w:w="120" w:type="dxa"/>
              <w:top w:w="80" w:type="dxa"/>
              <w:right w:w="120" w:type="dxa"/>
              <w:bottom w:w="80" w:type="dxa"/>
            </w:tcMar>
            <w:tcW w:w="5832" w:type="dxa"/>
            <w:vAlign w:val="center"/>
            <w:textDirection w:val="lrTb"/>
            <w:noWrap w:val="false"/>
          </w:tcPr>
          <w:p>
            <w:pPr>
              <w:pBdr/>
              <w:spacing w:after="0" w:line="252" w:lineRule="auto"/>
              <w:ind/>
              <w:jc w:val="left"/>
              <w:rPr/>
            </w:pPr>
            <w:r>
              <w:rPr>
                <w:rFonts w:ascii="Calibri" w:hAnsi="Calibri"/>
                <w:b w:val="0"/>
                <w:i w:val="0"/>
                <w:color w:val="111111"/>
                <w:sz w:val="17"/>
              </w:rPr>
              <w:t xml:space="preserve">Bekukan protokol, jalankan repeated matched runs, laporkan interval ketidakpastian, sensitivitas, ablation, dan kasus gagal.</w:t>
            </w:r>
            <w:r/>
          </w:p>
        </w:tc>
      </w:tr>
      <w:tr>
        <w:trPr/>
        <w:tc>
          <w:tcPr>
            <w:tcBorders/>
            <w:tcMar>
              <w:left w:w="120" w:type="dxa"/>
              <w:top w:w="80" w:type="dxa"/>
              <w:right w:w="120" w:type="dxa"/>
              <w:bottom w:w="80" w:type="dxa"/>
            </w:tcMar>
            <w:tcW w:w="2376" w:type="dxa"/>
            <w:vAlign w:val="center"/>
            <w:textDirection w:val="lrTb"/>
            <w:noWrap w:val="false"/>
          </w:tcPr>
          <w:p>
            <w:pPr>
              <w:pBdr/>
              <w:spacing w:after="0" w:line="252" w:lineRule="auto"/>
              <w:ind/>
              <w:jc w:val="left"/>
              <w:rPr/>
            </w:pPr>
            <w:r>
              <w:rPr>
                <w:rFonts w:ascii="Calibri" w:hAnsi="Calibri"/>
                <w:b w:val="0"/>
                <w:i w:val="0"/>
                <w:color w:val="111111"/>
                <w:sz w:val="17"/>
              </w:rPr>
              <w:t xml:space="preserve">Target Q1 sudah tercapai tapi  potensi tambahan masih tinggi</w:t>
            </w:r>
            <w:r/>
          </w:p>
        </w:tc>
        <w:tc>
          <w:tcPr>
            <w:tcBorders/>
            <w:tcMar>
              <w:left w:w="120" w:type="dxa"/>
              <w:top w:w="80" w:type="dxa"/>
              <w:right w:w="120" w:type="dxa"/>
              <w:bottom w:w="80" w:type="dxa"/>
            </w:tcMar>
            <w:tcW w:w="1152" w:type="dxa"/>
            <w:vAlign w:val="center"/>
            <w:textDirection w:val="lrTb"/>
            <w:noWrap w:val="false"/>
          </w:tcPr>
          <w:p>
            <w:pPr>
              <w:pBdr/>
              <w:spacing w:after="0" w:line="252" w:lineRule="auto"/>
              <w:ind/>
              <w:jc w:val="left"/>
              <w:rPr/>
            </w:pPr>
            <w:r>
              <w:rPr>
                <w:rFonts w:ascii="Calibri" w:hAnsi="Calibri"/>
                <w:b w:val="0"/>
                <w:i w:val="0"/>
                <w:color w:val="111111"/>
                <w:sz w:val="17"/>
              </w:rPr>
              <w:t xml:space="preserve">Tinggi</w:t>
            </w:r>
            <w:r/>
          </w:p>
        </w:tc>
        <w:tc>
          <w:tcPr>
            <w:tcBorders/>
            <w:tcMar>
              <w:left w:w="120" w:type="dxa"/>
              <w:top w:w="80" w:type="dxa"/>
              <w:right w:w="120" w:type="dxa"/>
              <w:bottom w:w="80" w:type="dxa"/>
            </w:tcMar>
            <w:tcW w:w="5832" w:type="dxa"/>
            <w:vAlign w:val="center"/>
            <w:textDirection w:val="lrTb"/>
            <w:noWrap w:val="false"/>
          </w:tcPr>
          <w:p>
            <w:pPr>
              <w:pBdr/>
              <w:spacing w:after="0" w:line="252" w:lineRule="auto"/>
              <w:ind/>
              <w:jc w:val="left"/>
              <w:rPr/>
            </w:pPr>
            <w:r>
              <w:rPr>
                <w:rFonts w:ascii="Calibri" w:hAnsi="Calibri"/>
                <w:b w:val="0"/>
                <w:i w:val="0"/>
                <w:color w:val="111111"/>
                <w:sz w:val="17"/>
              </w:rPr>
              <w:t xml:space="preserve">Tetapkan artikel utama dan jurnal, selesaikan Results/Discussion, pemeriksaan format dan acknowledgement, submit sebelum 30 November.</w:t>
            </w:r>
            <w:r/>
          </w:p>
        </w:tc>
      </w:tr>
      <w:tr>
        <w:trPr/>
        <w:tc>
          <w:tcPr>
            <w:tcBorders/>
            <w:tcMar>
              <w:left w:w="120" w:type="dxa"/>
              <w:top w:w="80" w:type="dxa"/>
              <w:right w:w="120" w:type="dxa"/>
              <w:bottom w:w="80" w:type="dxa"/>
            </w:tcMar>
            <w:tcW w:w="2376" w:type="dxa"/>
            <w:vAlign w:val="center"/>
            <w:textDirection w:val="lrTb"/>
            <w:noWrap w:val="false"/>
          </w:tcPr>
          <w:p>
            <w:pPr>
              <w:pBdr/>
              <w:spacing w:after="0" w:line="252" w:lineRule="auto"/>
              <w:ind/>
              <w:jc w:val="left"/>
              <w:rPr/>
            </w:pPr>
            <w:r>
              <w:rPr>
                <w:rFonts w:ascii="Calibri" w:hAnsi="Calibri"/>
                <w:b w:val="0"/>
                <w:i w:val="0"/>
                <w:color w:val="111111"/>
                <w:sz w:val="17"/>
              </w:rPr>
              <w:t xml:space="preserve">Keterlacakan prompt-SysML-artefak</w:t>
            </w:r>
            <w:r/>
          </w:p>
        </w:tc>
        <w:tc>
          <w:tcPr>
            <w:tcBorders/>
            <w:tcMar>
              <w:left w:w="120" w:type="dxa"/>
              <w:top w:w="80" w:type="dxa"/>
              <w:right w:w="120" w:type="dxa"/>
              <w:bottom w:w="80" w:type="dxa"/>
            </w:tcMar>
            <w:tcW w:w="1152" w:type="dxa"/>
            <w:vAlign w:val="center"/>
            <w:textDirection w:val="lrTb"/>
            <w:noWrap w:val="false"/>
          </w:tcPr>
          <w:p>
            <w:pPr>
              <w:pBdr/>
              <w:spacing w:after="0" w:line="252" w:lineRule="auto"/>
              <w:ind/>
              <w:jc w:val="left"/>
              <w:rPr/>
            </w:pPr>
            <w:r>
              <w:rPr>
                <w:rFonts w:ascii="Calibri" w:hAnsi="Calibri"/>
                <w:b w:val="0"/>
                <w:i w:val="0"/>
                <w:color w:val="111111"/>
                <w:sz w:val="17"/>
              </w:rPr>
              <w:t xml:space="preserve">Sedang</w:t>
            </w:r>
            <w:r/>
          </w:p>
        </w:tc>
        <w:tc>
          <w:tcPr>
            <w:tcBorders/>
            <w:tcMar>
              <w:left w:w="120" w:type="dxa"/>
              <w:top w:w="80" w:type="dxa"/>
              <w:right w:w="120" w:type="dxa"/>
              <w:bottom w:w="80" w:type="dxa"/>
            </w:tcMar>
            <w:tcW w:w="5832" w:type="dxa"/>
            <w:vAlign w:val="center"/>
            <w:textDirection w:val="lrTb"/>
            <w:noWrap w:val="false"/>
          </w:tcPr>
          <w:p>
            <w:pPr>
              <w:pBdr/>
              <w:spacing w:after="0" w:line="252" w:lineRule="auto"/>
              <w:ind/>
              <w:jc w:val="left"/>
              <w:rPr/>
            </w:pPr>
            <w:r>
              <w:rPr>
                <w:rFonts w:ascii="Calibri" w:hAnsi="Calibri"/>
                <w:b w:val="0"/>
                <w:i w:val="0"/>
                <w:color w:val="111111"/>
                <w:sz w:val="17"/>
              </w:rPr>
              <w:t xml:space="preserve">Sediakan trace matrix, versi model/kode, konfigurasi provider, seed, log, dan artefak keluaran yang dapat direplikasi.</w:t>
            </w:r>
            <w:r/>
          </w:p>
        </w:tc>
      </w:tr>
      <w:tr>
        <w:trPr/>
        <w:tc>
          <w:tcPr>
            <w:tcBorders/>
            <w:tcMar>
              <w:left w:w="120" w:type="dxa"/>
              <w:top w:w="80" w:type="dxa"/>
              <w:right w:w="120" w:type="dxa"/>
              <w:bottom w:w="80" w:type="dxa"/>
            </w:tcMar>
            <w:tcW w:w="2376" w:type="dxa"/>
            <w:vAlign w:val="center"/>
            <w:textDirection w:val="lrTb"/>
            <w:noWrap w:val="false"/>
          </w:tcPr>
          <w:p>
            <w:pPr>
              <w:pBdr/>
              <w:spacing w:after="0" w:line="252" w:lineRule="auto"/>
              <w:ind/>
              <w:jc w:val="left"/>
              <w:rPr/>
            </w:pPr>
            <w:r>
              <w:rPr>
                <w:rFonts w:ascii="Calibri" w:hAnsi="Calibri"/>
                <w:b w:val="0"/>
                <w:i w:val="0"/>
                <w:color w:val="111111"/>
                <w:sz w:val="17"/>
              </w:rPr>
              <w:t xml:space="preserve">Klasifikasi belanja modal</w:t>
            </w:r>
            <w:r/>
          </w:p>
        </w:tc>
        <w:tc>
          <w:tcPr>
            <w:tcBorders/>
            <w:tcMar>
              <w:left w:w="120" w:type="dxa"/>
              <w:top w:w="80" w:type="dxa"/>
              <w:right w:w="120" w:type="dxa"/>
              <w:bottom w:w="80" w:type="dxa"/>
            </w:tcMar>
            <w:tcW w:w="1152" w:type="dxa"/>
            <w:vAlign w:val="center"/>
            <w:textDirection w:val="lrTb"/>
            <w:noWrap w:val="false"/>
          </w:tcPr>
          <w:p>
            <w:pPr>
              <w:pBdr/>
              <w:spacing w:after="0" w:line="252" w:lineRule="auto"/>
              <w:ind/>
              <w:jc w:val="left"/>
              <w:rPr/>
            </w:pPr>
            <w:r>
              <w:rPr>
                <w:rFonts w:ascii="Calibri" w:hAnsi="Calibri"/>
                <w:b w:val="0"/>
                <w:i w:val="0"/>
                <w:color w:val="111111"/>
                <w:sz w:val="17"/>
              </w:rPr>
              <w:t xml:space="preserve">Sedang</w:t>
            </w:r>
            <w:r/>
          </w:p>
        </w:tc>
        <w:tc>
          <w:tcPr>
            <w:tcBorders/>
            <w:tcMar>
              <w:left w:w="120" w:type="dxa"/>
              <w:top w:w="80" w:type="dxa"/>
              <w:right w:w="120" w:type="dxa"/>
              <w:bottom w:w="80" w:type="dxa"/>
            </w:tcMar>
            <w:tcW w:w="5832" w:type="dxa"/>
            <w:vAlign w:val="center"/>
            <w:textDirection w:val="lrTb"/>
            <w:noWrap w:val="false"/>
          </w:tcPr>
          <w:p>
            <w:pPr>
              <w:pBdr/>
              <w:spacing w:after="0" w:line="252" w:lineRule="auto"/>
              <w:ind/>
              <w:jc w:val="left"/>
              <w:rPr/>
            </w:pPr>
            <w:r>
              <w:rPr>
                <w:rFonts w:ascii="Calibri" w:hAnsi="Calibri"/>
                <w:b w:val="0"/>
                <w:i w:val="0"/>
                <w:color w:val="111111"/>
                <w:sz w:val="17"/>
              </w:rPr>
              <w:t xml:space="preserve">Rekonsiliasi dengan RAB dan bagian keuangan; dokumentasikan justifikasi serta bukti persetujuan bila diperlukan.</w:t>
            </w:r>
            <w:r/>
          </w:p>
        </w:tc>
      </w:tr>
      <w:tr>
        <w:trPr/>
        <w:tc>
          <w:tcPr>
            <w:tcBorders/>
            <w:tcMar>
              <w:left w:w="120" w:type="dxa"/>
              <w:top w:w="80" w:type="dxa"/>
              <w:right w:w="120" w:type="dxa"/>
              <w:bottom w:w="80" w:type="dxa"/>
            </w:tcMar>
            <w:tcW w:w="2376" w:type="dxa"/>
            <w:vAlign w:val="center"/>
            <w:textDirection w:val="lrTb"/>
            <w:noWrap w:val="false"/>
          </w:tcPr>
          <w:p>
            <w:pPr>
              <w:pBdr/>
              <w:spacing w:after="0" w:line="252" w:lineRule="auto"/>
              <w:ind/>
              <w:jc w:val="left"/>
              <w:rPr/>
            </w:pPr>
            <w:r>
              <w:rPr>
                <w:rFonts w:ascii="Calibri" w:hAnsi="Calibri"/>
                <w:b w:val="0"/>
                <w:i w:val="0"/>
                <w:color w:val="111111"/>
                <w:sz w:val="17"/>
              </w:rPr>
              <w:t xml:space="preserve">Batas klaim simulasi</w:t>
            </w:r>
            <w:r/>
          </w:p>
        </w:tc>
        <w:tc>
          <w:tcPr>
            <w:tcBorders/>
            <w:tcMar>
              <w:left w:w="120" w:type="dxa"/>
              <w:top w:w="80" w:type="dxa"/>
              <w:right w:w="120" w:type="dxa"/>
              <w:bottom w:w="80" w:type="dxa"/>
            </w:tcMar>
            <w:tcW w:w="1152" w:type="dxa"/>
            <w:vAlign w:val="center"/>
            <w:textDirection w:val="lrTb"/>
            <w:noWrap w:val="false"/>
          </w:tcPr>
          <w:p>
            <w:pPr>
              <w:pBdr/>
              <w:spacing w:after="0" w:line="252" w:lineRule="auto"/>
              <w:ind/>
              <w:jc w:val="left"/>
              <w:rPr/>
            </w:pPr>
            <w:r>
              <w:rPr>
                <w:rFonts w:ascii="Calibri" w:hAnsi="Calibri"/>
                <w:b w:val="0"/>
                <w:i w:val="0"/>
                <w:color w:val="111111"/>
                <w:sz w:val="17"/>
              </w:rPr>
              <w:t xml:space="preserve">Sedang</w:t>
            </w:r>
            <w:r/>
          </w:p>
        </w:tc>
        <w:tc>
          <w:tcPr>
            <w:tcBorders/>
            <w:tcMar>
              <w:left w:w="120" w:type="dxa"/>
              <w:top w:w="80" w:type="dxa"/>
              <w:right w:w="120" w:type="dxa"/>
              <w:bottom w:w="80" w:type="dxa"/>
            </w:tcMar>
            <w:tcW w:w="5832" w:type="dxa"/>
            <w:vAlign w:val="center"/>
            <w:textDirection w:val="lrTb"/>
            <w:noWrap w:val="false"/>
          </w:tcPr>
          <w:p>
            <w:pPr>
              <w:pBdr/>
              <w:spacing w:after="0" w:line="252" w:lineRule="auto"/>
              <w:ind/>
              <w:jc w:val="left"/>
              <w:rPr/>
            </w:pPr>
            <w:r>
              <w:rPr>
                <w:rFonts w:ascii="Calibri" w:hAnsi="Calibri"/>
                <w:b w:val="0"/>
                <w:i w:val="0"/>
                <w:color w:val="111111"/>
                <w:sz w:val="17"/>
              </w:rPr>
              <w:t xml:space="preserve">Pisahkan bukti simulasi dari klaim kondisi kampus nyata; jelaskan asumsi, kalibrasi, dan kebutuhan validasi eksternal.</w:t>
            </w:r>
            <w:r/>
          </w:p>
        </w:tc>
      </w:tr>
    </w:tbl>
    <w:p>
      <w:pPr>
        <w:pBdr/>
        <w:spacing w:after="0"/>
        <w:ind/>
        <w:rPr/>
      </w:pPr>
      <w:r/>
      <w:r/>
    </w:p>
    <w:p>
      <w:pPr>
        <w:pStyle w:val="714"/>
        <w:pBdr/>
        <w:spacing/>
        <w:ind/>
        <w:rPr/>
      </w:pPr>
      <w:r>
        <w:t xml:space="preserve">7. Rencana Kerja Sampai Akhir Tahun</w:t>
      </w:r>
      <w:r/>
    </w:p>
    <w:tbl>
      <w:tblPr>
        <w:tblInd w:w="120" w:type="dxa"/>
        <w:tblW w:w="9360" w:type="dxa"/>
        <w:tblBorders>
          <w:top w:val="single" w:color="b7c0c8" w:sz="6" w:space="0"/>
          <w:left w:val="single" w:color="b7c0c8" w:sz="6" w:space="0"/>
          <w:bottom w:val="single" w:color="b7c0c8" w:sz="6" w:space="0"/>
          <w:right w:val="single" w:color="b7c0c8" w:sz="6" w:space="0"/>
          <w:insideH w:val="single" w:color="b7c0c8" w:sz="6" w:space="0"/>
          <w:insideV w:val="single" w:color="b7c0c8" w:sz="6" w:space="0"/>
        </w:tblBorders>
        <w:tblLayout w:type="fixed"/>
        <w:tblLook w:val="04A0" w:firstRow="1" w:lastRow="0" w:firstColumn="1" w:lastColumn="0" w:noHBand="0" w:noVBand="1"/>
      </w:tblPr>
      <w:tblGrid>
        <w:gridCol w:w="2088"/>
        <w:gridCol w:w="7272"/>
      </w:tblGrid>
      <w:tr>
        <w:trPr>
          <w:tblHeader/>
        </w:trPr>
        <w:tc>
          <w:tcPr>
            <w:shd w:val="clear" w:color="auto" w:fill="e8eef5"/>
            <w:tcBorders/>
            <w:tcMar>
              <w:left w:w="120" w:type="dxa"/>
              <w:top w:w="80" w:type="dxa"/>
              <w:right w:w="120" w:type="dxa"/>
              <w:bottom w:w="80" w:type="dxa"/>
            </w:tcMar>
            <w:tcW w:w="2088" w:type="dxa"/>
            <w:vAlign w:val="center"/>
            <w:textDirection w:val="lrTb"/>
            <w:noWrap w:val="false"/>
          </w:tcPr>
          <w:p>
            <w:pPr>
              <w:pBdr/>
              <w:spacing w:after="0"/>
              <w:ind/>
              <w:jc w:val="center"/>
              <w:rPr/>
            </w:pPr>
            <w:r>
              <w:rPr>
                <w:rFonts w:ascii="Calibri" w:hAnsi="Calibri"/>
                <w:b/>
                <w:i w:val="0"/>
                <w:color w:val="1f4d78"/>
                <w:sz w:val="18"/>
              </w:rPr>
              <w:t xml:space="preserve">Periode</w:t>
            </w:r>
            <w:r/>
          </w:p>
        </w:tc>
        <w:tc>
          <w:tcPr>
            <w:shd w:val="clear" w:color="auto" w:fill="e8eef5"/>
            <w:tcBorders/>
            <w:tcMar>
              <w:left w:w="120" w:type="dxa"/>
              <w:top w:w="80" w:type="dxa"/>
              <w:right w:w="120" w:type="dxa"/>
              <w:bottom w:w="80" w:type="dxa"/>
            </w:tcMar>
            <w:tcW w:w="7272" w:type="dxa"/>
            <w:vAlign w:val="center"/>
            <w:textDirection w:val="lrTb"/>
            <w:noWrap w:val="false"/>
          </w:tcPr>
          <w:p>
            <w:pPr>
              <w:pBdr/>
              <w:spacing w:after="0"/>
              <w:ind/>
              <w:jc w:val="center"/>
              <w:rPr/>
            </w:pPr>
            <w:r>
              <w:rPr>
                <w:rFonts w:ascii="Calibri" w:hAnsi="Calibri"/>
                <w:b/>
                <w:i w:val="0"/>
                <w:color w:val="1f4d78"/>
                <w:sz w:val="18"/>
              </w:rPr>
              <w:t xml:space="preserve">Keluaran yang Diharapkan</w:t>
            </w:r>
            <w:r/>
          </w:p>
        </w:tc>
      </w:tr>
      <w:tr>
        <w:trPr/>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8"/>
              </w:rPr>
              <w:t xml:space="preserve">Agustus-September</w:t>
            </w:r>
            <w:r/>
          </w:p>
        </w:tc>
        <w:tc>
          <w:tcPr>
            <w:tcBorders/>
            <w:tcMar>
              <w:left w:w="120" w:type="dxa"/>
              <w:top w:w="80" w:type="dxa"/>
              <w:right w:w="120" w:type="dxa"/>
              <w:bottom w:w="80" w:type="dxa"/>
            </w:tcMar>
            <w:tcW w:w="7272" w:type="dxa"/>
            <w:vAlign w:val="center"/>
            <w:textDirection w:val="lrTb"/>
            <w:noWrap w:val="false"/>
          </w:tcPr>
          <w:p>
            <w:pPr>
              <w:pBdr/>
              <w:spacing w:after="0" w:line="252" w:lineRule="auto"/>
              <w:ind/>
              <w:jc w:val="left"/>
              <w:rPr/>
            </w:pPr>
            <w:r>
              <w:rPr>
                <w:rFonts w:ascii="Calibri" w:hAnsi="Calibri"/>
                <w:b w:val="0"/>
                <w:i w:val="0"/>
                <w:color w:val="111111"/>
                <w:sz w:val="18"/>
              </w:rPr>
              <w:t xml:space="preserve">Kunci PICOC, skenario, seed, ambang penerimaan, dan traceability matrix; audit kesesuaian implementasi dengan arsitektur.</w:t>
            </w:r>
            <w:r/>
          </w:p>
        </w:tc>
      </w:tr>
      <w:tr>
        <w:trPr/>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8"/>
              </w:rPr>
              <w:t xml:space="preserve">September-Oktober</w:t>
            </w:r>
            <w:r/>
          </w:p>
        </w:tc>
        <w:tc>
          <w:tcPr>
            <w:tcBorders/>
            <w:tcMar>
              <w:left w:w="120" w:type="dxa"/>
              <w:top w:w="80" w:type="dxa"/>
              <w:right w:w="120" w:type="dxa"/>
              <w:bottom w:w="80" w:type="dxa"/>
            </w:tcMar>
            <w:tcW w:w="7272" w:type="dxa"/>
            <w:vAlign w:val="center"/>
            <w:textDirection w:val="lrTb"/>
            <w:noWrap w:val="false"/>
          </w:tcPr>
          <w:p>
            <w:pPr>
              <w:pBdr/>
              <w:spacing w:after="0" w:line="252" w:lineRule="auto"/>
              <w:ind/>
              <w:jc w:val="left"/>
              <w:rPr/>
            </w:pPr>
            <w:r>
              <w:rPr>
                <w:rFonts w:ascii="Calibri" w:hAnsi="Calibri"/>
                <w:b w:val="0"/>
                <w:i w:val="0"/>
                <w:color w:val="111111"/>
                <w:sz w:val="18"/>
              </w:rPr>
              <w:t xml:space="preserve">Jalankan eksperimen berpasangan baseline-SOTA-TISE; lakukan replikasi, interval ketidakpastian, sensitivitas, ablation, dan uji gangguan.</w:t>
            </w:r>
            <w:r/>
          </w:p>
        </w:tc>
      </w:tr>
      <w:tr>
        <w:trPr/>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8"/>
              </w:rPr>
              <w:t xml:space="preserve">Oktober-November</w:t>
            </w:r>
            <w:r/>
          </w:p>
        </w:tc>
        <w:tc>
          <w:tcPr>
            <w:tcBorders/>
            <w:tcMar>
              <w:left w:w="120" w:type="dxa"/>
              <w:top w:w="80" w:type="dxa"/>
              <w:right w:w="120" w:type="dxa"/>
              <w:bottom w:w="80" w:type="dxa"/>
            </w:tcMar>
            <w:tcW w:w="7272" w:type="dxa"/>
            <w:vAlign w:val="center"/>
            <w:textDirection w:val="lrTb"/>
            <w:noWrap w:val="false"/>
          </w:tcPr>
          <w:p>
            <w:pPr>
              <w:pBdr/>
              <w:spacing w:after="0" w:line="252" w:lineRule="auto"/>
              <w:ind/>
              <w:jc w:val="left"/>
              <w:rPr/>
            </w:pPr>
            <w:r>
              <w:rPr>
                <w:rFonts w:ascii="Calibri" w:hAnsi="Calibri"/>
                <w:b w:val="0"/>
                <w:i w:val="0"/>
                <w:color w:val="111111"/>
                <w:sz w:val="18"/>
              </w:rPr>
              <w:t xml:space="preserve">Isi Results dan Discussion dengan hasil final; tetapkan jurnal sasaran; lengkapi acknowledgement PPMI; submit paling lambat 30 November 2026.</w:t>
            </w:r>
            <w:r/>
          </w:p>
        </w:tc>
      </w:tr>
      <w:tr>
        <w:trPr/>
        <w:tc>
          <w:tcPr>
            <w:tcBorders/>
            <w:tcMar>
              <w:left w:w="120" w:type="dxa"/>
              <w:top w:w="80" w:type="dxa"/>
              <w:right w:w="120" w:type="dxa"/>
              <w:bottom w:w="80" w:type="dxa"/>
            </w:tcMar>
            <w:tcW w:w="2088" w:type="dxa"/>
            <w:vAlign w:val="center"/>
            <w:textDirection w:val="lrTb"/>
            <w:noWrap w:val="false"/>
          </w:tcPr>
          <w:p>
            <w:pPr>
              <w:pBdr/>
              <w:spacing w:after="0" w:line="252" w:lineRule="auto"/>
              <w:ind/>
              <w:jc w:val="left"/>
              <w:rPr/>
            </w:pPr>
            <w:r>
              <w:rPr>
                <w:rFonts w:ascii="Calibri" w:hAnsi="Calibri"/>
                <w:b w:val="0"/>
                <w:i w:val="0"/>
                <w:color w:val="111111"/>
                <w:sz w:val="18"/>
              </w:rPr>
              <w:t xml:space="preserve">Desember</w:t>
            </w:r>
            <w:r/>
          </w:p>
        </w:tc>
        <w:tc>
          <w:tcPr>
            <w:tcBorders/>
            <w:tcMar>
              <w:left w:w="120" w:type="dxa"/>
              <w:top w:w="80" w:type="dxa"/>
              <w:right w:w="120" w:type="dxa"/>
              <w:bottom w:w="80" w:type="dxa"/>
            </w:tcMar>
            <w:tcW w:w="7272" w:type="dxa"/>
            <w:vAlign w:val="center"/>
            <w:textDirection w:val="lrTb"/>
            <w:noWrap w:val="false"/>
          </w:tcPr>
          <w:p>
            <w:pPr>
              <w:pBdr/>
              <w:spacing w:after="0" w:line="252" w:lineRule="auto"/>
              <w:ind/>
              <w:jc w:val="left"/>
              <w:rPr/>
            </w:pPr>
            <w:r>
              <w:rPr>
                <w:rFonts w:ascii="Calibri" w:hAnsi="Calibri"/>
                <w:b w:val="0"/>
                <w:i w:val="0"/>
                <w:color w:val="111111"/>
                <w:sz w:val="18"/>
              </w:rPr>
              <w:t xml:space="preserve">Tindak lanjut editorial, arsipkan artefak replikasi, selesaikan laporan akhir, dan rekonsiliasi klasifikasi serta bukti penggunaan dana.</w:t>
            </w:r>
            <w:r/>
          </w:p>
        </w:tc>
      </w:tr>
    </w:tbl>
    <w:p>
      <w:pPr>
        <w:pBdr/>
        <w:spacing w:after="0"/>
        <w:ind/>
        <w:rPr/>
      </w:pPr>
      <w:r/>
      <w:r/>
    </w:p>
    <w:p>
      <w:pPr>
        <w:pStyle w:val="714"/>
        <w:pBdr/>
        <w:spacing/>
        <w:ind/>
        <w:rPr/>
      </w:pPr>
      <w:r>
        <w:t xml:space="preserve">8. Kesimpulan</w:t>
      </w:r>
      <w:r/>
    </w:p>
    <w:p>
      <w:pPr>
        <w:pBdr/>
        <w:spacing/>
        <w:ind/>
        <w:rPr/>
      </w:pPr>
      <w:r>
        <w:rPr>
          <w:rFonts w:ascii="Calibri" w:hAnsi="Calibri"/>
          <w:b w:val="0"/>
          <w:i w:val="0"/>
          <w:color w:val="111111"/>
          <w:sz w:val="22"/>
        </w:rPr>
        <w:t xml:space="preserve">Secara keseluruhan, riset berada pada posisi yang konsisten d</w:t>
      </w:r>
      <w:r>
        <w:rPr>
          <w:rFonts w:ascii="Calibri" w:hAnsi="Calibri"/>
          <w:b w:val="0"/>
          <w:i w:val="0"/>
          <w:color w:val="111111"/>
          <w:sz w:val="22"/>
        </w:rPr>
        <w:t xml:space="preserve">engan peralihan menuju tahap validasi Agustus-September. Fondasi konseptual, rancangan meta-arsitektur, struktur purwarupa, dan protokol Digital Twin telah terdokumentasi dengan baik. Kesenjangan utama adalah belum tersedianya hasil eksperimen final dan be</w:t>
      </w:r>
      <w:r>
        <w:rPr>
          <w:rFonts w:ascii="Calibri" w:hAnsi="Calibri"/>
          <w:b w:val="0"/>
          <w:i w:val="0"/>
          <w:color w:val="111111"/>
          <w:sz w:val="22"/>
        </w:rPr>
        <w:t xml:space="preserve">lum adanya bukti bahwa artikel TISE 3.0 telah masuk proses submit. Dengan serapan anggaran 54% dan sisa periode sampai Desember, sasaran masih dapat dicapai apabila eksekusi eksperimen, penyusunan artikel, serta rekonsiliasi anggaran diprioritaskan segera.</w:t>
      </w:r>
      <w:r/>
    </w:p>
    <w:p>
      <w:pPr>
        <w:pBdr/>
        <w:spacing/>
        <w:ind/>
        <w:rPr/>
      </w:pPr>
      <w:r>
        <w:br w:type="page" w:clear="all"/>
      </w:r>
      <w:r/>
    </w:p>
    <w:p>
      <w:pPr>
        <w:pStyle w:val="714"/>
        <w:pBdr/>
        <w:spacing/>
        <w:ind/>
        <w:rPr/>
      </w:pPr>
      <w:r>
        <w:t xml:space="preserve">Lampiran: Sumber Data dan Catatan Verifikasi</w:t>
      </w:r>
      <w:r/>
    </w:p>
    <w:tbl>
      <w:tblPr>
        <w:tblInd w:w="120" w:type="dxa"/>
        <w:tblW w:w="9360" w:type="dxa"/>
        <w:tblBorders>
          <w:top w:val="single" w:color="b7c0c8" w:sz="6" w:space="0"/>
          <w:left w:val="single" w:color="b7c0c8" w:sz="6" w:space="0"/>
          <w:bottom w:val="single" w:color="b7c0c8" w:sz="6" w:space="0"/>
          <w:right w:val="single" w:color="b7c0c8" w:sz="6" w:space="0"/>
          <w:insideH w:val="single" w:color="b7c0c8" w:sz="6" w:space="0"/>
          <w:insideV w:val="single" w:color="b7c0c8" w:sz="6" w:space="0"/>
        </w:tblBorders>
        <w:tblLayout w:type="fixed"/>
        <w:tblLook w:val="04A0" w:firstRow="1" w:lastRow="0" w:firstColumn="1" w:lastColumn="0" w:noHBand="0" w:noVBand="1"/>
      </w:tblPr>
      <w:tblGrid>
        <w:gridCol w:w="936"/>
        <w:gridCol w:w="8424"/>
      </w:tblGrid>
      <w:tr>
        <w:trPr>
          <w:tblHeader/>
        </w:trPr>
        <w:tc>
          <w:tcPr>
            <w:shd w:val="clear" w:color="auto" w:fill="f2f4f7"/>
            <w:tcBorders/>
            <w:tcMar>
              <w:left w:w="120" w:type="dxa"/>
              <w:top w:w="80" w:type="dxa"/>
              <w:right w:w="120" w:type="dxa"/>
              <w:bottom w:w="80" w:type="dxa"/>
            </w:tcMar>
            <w:tcW w:w="936" w:type="dxa"/>
            <w:vAlign w:val="center"/>
            <w:textDirection w:val="lrTb"/>
            <w:noWrap w:val="false"/>
          </w:tcPr>
          <w:p>
            <w:pPr>
              <w:pBdr/>
              <w:spacing w:after="0"/>
              <w:ind/>
              <w:jc w:val="center"/>
              <w:rPr/>
            </w:pPr>
            <w:r>
              <w:rPr>
                <w:rFonts w:ascii="Calibri" w:hAnsi="Calibri"/>
                <w:b/>
                <w:i w:val="0"/>
                <w:color w:val="1f4d78"/>
                <w:sz w:val="18"/>
              </w:rPr>
              <w:t xml:space="preserve">Kode</w:t>
            </w:r>
            <w:r/>
          </w:p>
        </w:tc>
        <w:tc>
          <w:tcPr>
            <w:shd w:val="clear" w:color="auto" w:fill="f2f4f7"/>
            <w:tcBorders/>
            <w:tcMar>
              <w:left w:w="120" w:type="dxa"/>
              <w:top w:w="80" w:type="dxa"/>
              <w:right w:w="120" w:type="dxa"/>
              <w:bottom w:w="80" w:type="dxa"/>
            </w:tcMar>
            <w:tcW w:w="8424" w:type="dxa"/>
            <w:vAlign w:val="center"/>
            <w:textDirection w:val="lrTb"/>
            <w:noWrap w:val="false"/>
          </w:tcPr>
          <w:p>
            <w:pPr>
              <w:pBdr/>
              <w:spacing w:after="0"/>
              <w:ind/>
              <w:jc w:val="center"/>
              <w:rPr/>
            </w:pPr>
            <w:r>
              <w:rPr>
                <w:rFonts w:ascii="Calibri" w:hAnsi="Calibri"/>
                <w:b/>
                <w:i w:val="0"/>
                <w:color w:val="1f4d78"/>
                <w:sz w:val="18"/>
              </w:rPr>
              <w:t xml:space="preserve">Dokumen</w:t>
            </w:r>
            <w:r/>
          </w:p>
        </w:tc>
      </w:tr>
      <w:tr>
        <w:trPr/>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8"/>
              </w:rPr>
              <w:t xml:space="preserve">[S1]</w:t>
            </w:r>
            <w:r/>
          </w:p>
        </w:tc>
        <w:tc>
          <w:tcPr>
            <w:tcBorders/>
            <w:tcMar>
              <w:left w:w="120" w:type="dxa"/>
              <w:top w:w="80" w:type="dxa"/>
              <w:right w:w="120" w:type="dxa"/>
              <w:bottom w:w="80" w:type="dxa"/>
            </w:tcMar>
            <w:tcW w:w="8424" w:type="dxa"/>
            <w:vAlign w:val="center"/>
            <w:textDirection w:val="lrTb"/>
            <w:noWrap w:val="false"/>
          </w:tcPr>
          <w:p>
            <w:pPr>
              <w:pBdr/>
              <w:spacing w:after="0" w:line="252" w:lineRule="auto"/>
              <w:ind/>
              <w:jc w:val="left"/>
              <w:rPr/>
            </w:pPr>
            <w:r>
              <w:rPr>
                <w:rFonts w:ascii="Calibri" w:hAnsi="Calibri"/>
                <w:b w:val="0"/>
                <w:i w:val="0"/>
                <w:color w:val="111111"/>
                <w:sz w:val="18"/>
              </w:rPr>
              <w:t xml:space="preserve">proposal5signed.pdf - proposal 18 halaman; identitas, tujuan, target publikasi, jadwal, dan RAB.</w:t>
            </w:r>
            <w:r/>
          </w:p>
        </w:tc>
      </w:tr>
      <w:tr>
        <w:trPr/>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8"/>
              </w:rPr>
              <w:t xml:space="preserve">[S2]</w:t>
            </w:r>
            <w:r/>
          </w:p>
        </w:tc>
        <w:tc>
          <w:tcPr>
            <w:tcBorders/>
            <w:tcMar>
              <w:left w:w="120" w:type="dxa"/>
              <w:top w:w="80" w:type="dxa"/>
              <w:right w:w="120" w:type="dxa"/>
              <w:bottom w:w="80" w:type="dxa"/>
            </w:tcMar>
            <w:tcW w:w="8424" w:type="dxa"/>
            <w:vAlign w:val="center"/>
            <w:textDirection w:val="lrTb"/>
            <w:noWrap w:val="false"/>
          </w:tcPr>
          <w:p>
            <w:pPr>
              <w:pBdr/>
              <w:spacing w:after="0" w:line="252" w:lineRule="auto"/>
              <w:ind/>
              <w:jc w:val="left"/>
              <w:rPr/>
            </w:pPr>
            <w:r>
              <w:rPr>
                <w:rFonts w:ascii="Calibri" w:hAnsi="Calibri"/>
                <w:b w:val="0"/>
                <w:i w:val="0"/>
                <w:color w:val="111111"/>
                <w:sz w:val="18"/>
              </w:rPr>
              <w:t xml:space="preserve">bahan/pipeline2026.pdf - Publication Pipeline 2026, 2 halaman.</w:t>
            </w:r>
            <w:r/>
          </w:p>
        </w:tc>
      </w:tr>
      <w:tr>
        <w:trPr/>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8"/>
              </w:rPr>
              <w:t xml:space="preserve">[S3]</w:t>
            </w:r>
            <w:r/>
          </w:p>
        </w:tc>
        <w:tc>
          <w:tcPr>
            <w:tcBorders/>
            <w:tcMar>
              <w:left w:w="120" w:type="dxa"/>
              <w:top w:w="80" w:type="dxa"/>
              <w:right w:w="120" w:type="dxa"/>
              <w:bottom w:w="80" w:type="dxa"/>
            </w:tcMar>
            <w:tcW w:w="8424" w:type="dxa"/>
            <w:vAlign w:val="center"/>
            <w:textDirection w:val="lrTb"/>
            <w:noWrap w:val="false"/>
          </w:tcPr>
          <w:p>
            <w:pPr>
              <w:pBdr/>
              <w:spacing w:after="0" w:line="252" w:lineRule="auto"/>
              <w:ind/>
              <w:jc w:val="left"/>
              <w:rPr/>
            </w:pPr>
            <w:r>
              <w:rPr>
                <w:rFonts w:ascii="Calibri" w:hAnsi="Calibri"/>
                <w:b w:val="0"/>
                <w:i w:val="0"/>
                <w:color w:val="111111"/>
                <w:sz w:val="18"/>
              </w:rPr>
              <w:t xml:space="preserve">bahan/SVCC.pdf - Systemic Value Co-Creation, 74 halaman, bertanggal 19 Agustus 2026.</w:t>
            </w:r>
            <w:r/>
          </w:p>
        </w:tc>
      </w:tr>
      <w:tr>
        <w:trPr/>
        <w:tc>
          <w:tcPr>
            <w:tcBorders/>
            <w:tcMar>
              <w:left w:w="120" w:type="dxa"/>
              <w:top w:w="80" w:type="dxa"/>
              <w:right w:w="120" w:type="dxa"/>
              <w:bottom w:w="80" w:type="dxa"/>
            </w:tcMar>
            <w:tcW w:w="936" w:type="dxa"/>
            <w:vAlign w:val="center"/>
            <w:textDirection w:val="lrTb"/>
            <w:noWrap w:val="false"/>
          </w:tcPr>
          <w:p>
            <w:pPr>
              <w:pBdr/>
              <w:spacing w:after="0" w:line="252" w:lineRule="auto"/>
              <w:ind/>
              <w:jc w:val="left"/>
              <w:rPr/>
            </w:pPr>
            <w:r>
              <w:rPr>
                <w:rFonts w:ascii="Calibri" w:hAnsi="Calibri"/>
                <w:b w:val="0"/>
                <w:i w:val="0"/>
                <w:color w:val="111111"/>
                <w:sz w:val="18"/>
              </w:rPr>
              <w:t xml:space="preserve">[S4]</w:t>
            </w:r>
            <w:r/>
          </w:p>
        </w:tc>
        <w:tc>
          <w:tcPr>
            <w:tcBorders/>
            <w:tcMar>
              <w:left w:w="120" w:type="dxa"/>
              <w:top w:w="80" w:type="dxa"/>
              <w:right w:w="120" w:type="dxa"/>
              <w:bottom w:w="80" w:type="dxa"/>
            </w:tcMar>
            <w:tcW w:w="8424" w:type="dxa"/>
            <w:vAlign w:val="center"/>
            <w:textDirection w:val="lrTb"/>
            <w:noWrap w:val="false"/>
          </w:tcPr>
          <w:p>
            <w:pPr>
              <w:pBdr/>
              <w:spacing w:after="0" w:line="252" w:lineRule="auto"/>
              <w:ind/>
              <w:jc w:val="left"/>
              <w:rPr/>
            </w:pPr>
            <w:r>
              <w:rPr>
                <w:rFonts w:ascii="Calibri" w:hAnsi="Calibri"/>
                <w:b w:val="0"/>
                <w:i w:val="0"/>
                <w:color w:val="111111"/>
                <w:sz w:val="18"/>
              </w:rPr>
              <w:t xml:space="preserve">LPD Armein Z.R Langi.pdf - Laporan Penggunaan Dana, 2 halaman, periode 1 April-31 Desember 2026.</w:t>
            </w:r>
            <w:r/>
          </w:p>
        </w:tc>
      </w:tr>
    </w:tbl>
    <w:p>
      <w:pPr>
        <w:pBdr/>
        <w:spacing w:after="0"/>
        <w:ind/>
        <w:rPr/>
      </w:pPr>
      <w:r/>
      <w:r/>
    </w:p>
    <w:p>
      <w:pPr>
        <w:pBdr/>
        <w:spacing/>
        <w:ind/>
        <w:rPr/>
      </w:pPr>
      <w:r>
        <w:rPr>
          <w:rFonts w:ascii="Calibri" w:hAnsi="Calibri"/>
          <w:b w:val="0"/>
          <w:i/>
          <w:color w:val="111111"/>
          <w:sz w:val="22"/>
        </w:rPr>
        <w:t xml:space="preserve">Metode: angka dan status ditranskripsi dari dokumen yang diberikan dan diperiksa terhadap tampilan halaman PDF. Tidak dilakukan verifikasi eksternal atas indeks jurnal, tautan bukti</w:t>
      </w:r>
      <w:r>
        <w:rPr>
          <w:rFonts w:ascii="Calibri" w:hAnsi="Calibri"/>
          <w:b w:val="0"/>
          <w:i/>
          <w:color w:val="111111"/>
          <w:sz w:val="22"/>
        </w:rPr>
        <w:t xml:space="preserve"> transfer, atau keberadaan kode sumber. Istilah 'published', 'under review', dan 'draft' mengikuti pipeline. Status SVCC dinilai sebagai manuskrip pra-submisi karena tidak mencantumkan jurnal/status submit dan bagian Results menyatakan data belum tersedia.</w:t>
      </w:r>
      <w:r/>
    </w:p>
    <w:p>
      <w:pPr>
        <w:pBdr/>
        <w:spacing w:before="480"/>
        <w:ind/>
        <w:jc w:val="right"/>
        <w:rPr/>
      </w:pPr>
      <w:r>
        <w:rPr>
          <w:rFonts w:ascii="Calibri" w:hAnsi="Calibri"/>
          <w:b w:val="0"/>
          <w:i w:val="0"/>
          <w:color w:val="111111"/>
          <w:sz w:val="22"/>
        </w:rPr>
        <w:t xml:space="preserve">Bandung, 19 Agustus 2026</w:t>
      </w:r>
      <w:r/>
    </w:p>
    <w:p>
      <w:pPr>
        <w:pBdr/>
        <w:spacing w:after="800"/>
        <w:ind/>
        <w:jc w:val="right"/>
        <w:rPr/>
      </w:pPr>
      <w:r>
        <w:rPr>
          <w:rFonts w:ascii="Calibri" w:hAnsi="Calibri"/>
          <w:b w:val="0"/>
          <w:i w:val="0"/>
          <w:color w:val="111111"/>
          <w:sz w:val="22"/>
        </w:rPr>
        <w:t xml:space="preserve">Ketua Peneliti,</w:t>
      </w:r>
      <w:r/>
    </w:p>
    <w:p>
      <w:pPr>
        <w:pBdr/>
        <w:spacing/>
        <w:ind/>
        <w:jc w:val="right"/>
        <w:rPr/>
      </w:pPr>
      <w:r>
        <w:rPr>
          <w:rFonts w:ascii="Calibri" w:hAnsi="Calibri"/>
          <w:b/>
          <w:i w:val="0"/>
          <w:color w:val="111111"/>
          <w:sz w:val="22"/>
        </w:rPr>
        <w:t xml:space="preserve">Prof. Ir. Armein Z. R. Langi, M.Sc., Ph.D.</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2"/>
      <w:pBdr/>
      <w:spacing w:before="0"/>
      <w:ind/>
      <w:jc w:val="right"/>
      <w:rPr/>
    </w:pPr>
    <w:r>
      <w:rPr>
        <w:rFonts w:ascii="Calibri" w:hAnsi="Calibri"/>
        <w:b w:val="0"/>
        <w:i w:val="0"/>
        <w:color w:val="5e6b75"/>
        <w:sz w:val="18"/>
      </w:rPr>
      <w:t xml:space="preserve">Halaman </w:t>
    </w:r>
    <w:r>
      <w:rPr>
        <w:rFonts w:ascii="Calibri" w:hAnsi="Calibri"/>
        <w:b w:val="0"/>
        <w:i w:val="0"/>
        <w:color w:val="5e6b75"/>
        <w:sz w:val="18"/>
      </w:rPr>
      <w:fldChar w:fldCharType="begin"/>
      <w:instrText xml:space="preserve">PAGE</w:instrText>
      <w:fldChar w:fldCharType="separate"/>
      <w:t xml:space="preserve">1</w: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0"/>
      <w:pBdr/>
      <w:spacing w:after="0"/>
      <w:ind/>
      <w:jc w:val="left"/>
      <w:rPr/>
    </w:pPr>
    <w:r>
      <w:rPr>
        <w:rFonts w:ascii="Calibri" w:hAnsi="Calibri"/>
        <w:b/>
        <w:i w:val="0"/>
        <w:color w:val="5e6b75"/>
        <w:sz w:val="17"/>
      </w:rPr>
      <w:t xml:space="preserve">LAPORAN KEMAJUAN RISET PPMI - RISET GURU BESAR 2026</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23"/>
    <w:link w:val="181"/>
    <w:uiPriority w:val="99"/>
    <w:semiHidden/>
    <w:pPr>
      <w:pBdr/>
      <w:spacing/>
      <w:ind/>
    </w:pPr>
    <w:rPr>
      <w:sz w:val="20"/>
      <w:szCs w:val="20"/>
    </w:rPr>
  </w:style>
  <w:style w:type="character" w:styleId="183">
    <w:name w:val="footnote reference"/>
    <w:basedOn w:val="72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23"/>
    <w:link w:val="184"/>
    <w:uiPriority w:val="99"/>
    <w:semiHidden/>
    <w:pPr>
      <w:pBdr/>
      <w:spacing/>
      <w:ind/>
    </w:pPr>
    <w:rPr>
      <w:sz w:val="20"/>
      <w:szCs w:val="20"/>
    </w:rPr>
  </w:style>
  <w:style w:type="character" w:styleId="186">
    <w:name w:val="endnote reference"/>
    <w:basedOn w:val="723"/>
    <w:uiPriority w:val="99"/>
    <w:semiHidden/>
    <w:unhideWhenUsed/>
    <w:pPr>
      <w:pBdr/>
      <w:spacing/>
      <w:ind/>
    </w:pPr>
    <w:rPr>
      <w:vertAlign w:val="superscript"/>
    </w:rPr>
  </w:style>
  <w:style w:type="character" w:styleId="187">
    <w:name w:val="Hyperlink"/>
    <w:basedOn w:val="723"/>
    <w:uiPriority w:val="99"/>
    <w:unhideWhenUsed/>
    <w:pPr>
      <w:pBdr/>
      <w:spacing/>
      <w:ind/>
    </w:pPr>
    <w:rPr>
      <w:color w:val="0563c1" w:themeColor="hyperlink"/>
      <w:u w:val="single"/>
    </w:rPr>
  </w:style>
  <w:style w:type="character" w:styleId="188">
    <w:name w:val="FollowedHyperlink"/>
    <w:basedOn w:val="72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23"/>
    <w:uiPriority w:val="99"/>
    <w:semiHidden/>
    <w:pPr>
      <w:pBdr/>
      <w:spacing/>
      <w:ind/>
    </w:pPr>
    <w:rPr>
      <w:color w:val="666666"/>
    </w:rPr>
  </w:style>
  <w:style w:type="paragraph" w:styleId="209">
    <w:name w:val="table of figures"/>
    <w:basedOn w:val="709"/>
    <w:next w:val="709"/>
    <w:uiPriority w:val="99"/>
    <w:unhideWhenUsed/>
    <w:pPr>
      <w:pBdr/>
      <w:spacing w:after="0" w:afterAutospacing="0"/>
      <w:ind/>
    </w:pPr>
  </w:style>
  <w:style w:type="paragraph" w:styleId="709" w:default="1">
    <w:name w:val="Normal"/>
    <w:qFormat/>
    <w:pPr>
      <w:pBdr/>
      <w:spacing w:after="120" w:before="0" w:line="264" w:lineRule="auto"/>
      <w:ind/>
    </w:pPr>
    <w:rPr>
      <w:rFonts w:ascii="Calibri" w:hAnsi="Calibri"/>
      <w:color w:val="111111"/>
      <w:sz w:val="22"/>
    </w:rPr>
  </w:style>
  <w:style w:type="paragraph" w:styleId="710">
    <w:name w:val="Header"/>
    <w:basedOn w:val="709"/>
    <w:link w:val="711"/>
    <w:uiPriority w:val="99"/>
    <w:unhideWhenUsed/>
    <w:pPr>
      <w:pBdr/>
      <w:tabs>
        <w:tab w:val="center" w:leader="none" w:pos="4680"/>
        <w:tab w:val="right" w:leader="none" w:pos="9360"/>
      </w:tabs>
      <w:spacing w:after="0" w:line="240" w:lineRule="auto"/>
      <w:ind/>
    </w:pPr>
  </w:style>
  <w:style w:type="character" w:styleId="711" w:customStyle="1">
    <w:name w:val="Header Char"/>
    <w:basedOn w:val="723"/>
    <w:link w:val="710"/>
    <w:uiPriority w:val="99"/>
    <w:pPr>
      <w:pBdr/>
      <w:spacing/>
      <w:ind/>
    </w:pPr>
  </w:style>
  <w:style w:type="paragraph" w:styleId="712">
    <w:name w:val="Footer"/>
    <w:basedOn w:val="709"/>
    <w:link w:val="713"/>
    <w:uiPriority w:val="99"/>
    <w:unhideWhenUsed/>
    <w:pPr>
      <w:pBdr/>
      <w:tabs>
        <w:tab w:val="center" w:leader="none" w:pos="4680"/>
        <w:tab w:val="right" w:leader="none" w:pos="9360"/>
      </w:tabs>
      <w:spacing w:after="0" w:line="240" w:lineRule="auto"/>
      <w:ind/>
    </w:pPr>
  </w:style>
  <w:style w:type="character" w:styleId="713" w:customStyle="1">
    <w:name w:val="Footer Char"/>
    <w:basedOn w:val="723"/>
    <w:link w:val="712"/>
    <w:uiPriority w:val="99"/>
    <w:pPr>
      <w:pBdr/>
      <w:spacing/>
      <w:ind/>
    </w:pPr>
  </w:style>
  <w:style w:type="paragraph" w:styleId="714">
    <w:name w:val="Heading 1"/>
    <w:basedOn w:val="709"/>
    <w:next w:val="709"/>
    <w:link w:val="727"/>
    <w:uiPriority w:val="9"/>
    <w:qFormat/>
    <w:pPr>
      <w:keepNext w:val="true"/>
      <w:keepLines w:val="true"/>
      <w:pBdr/>
      <w:spacing w:after="160" w:before="320"/>
      <w:ind/>
      <w:outlineLvl w:val="0"/>
    </w:pPr>
    <w:rPr>
      <w:rFonts w:ascii="Calibri" w:hAnsi="Calibri" w:asciiTheme="majorHAnsi" w:hAnsiTheme="majorHAnsi" w:eastAsiaTheme="majorEastAsia" w:cstheme="majorBidi"/>
      <w:b/>
      <w:bCs/>
      <w:color w:val="2e74b5"/>
      <w:sz w:val="32"/>
      <w:szCs w:val="28"/>
    </w:rPr>
  </w:style>
  <w:style w:type="paragraph" w:styleId="715">
    <w:name w:val="Heading 2"/>
    <w:basedOn w:val="709"/>
    <w:next w:val="709"/>
    <w:link w:val="728"/>
    <w:uiPriority w:val="9"/>
    <w:unhideWhenUsed/>
    <w:qFormat/>
    <w:pPr>
      <w:keepNext w:val="true"/>
      <w:keepLines w:val="true"/>
      <w:pBdr/>
      <w:spacing w:after="120" w:before="240"/>
      <w:ind/>
      <w:outlineLvl w:val="1"/>
    </w:pPr>
    <w:rPr>
      <w:rFonts w:ascii="Calibri" w:hAnsi="Calibri" w:asciiTheme="majorHAnsi" w:hAnsiTheme="majorHAnsi" w:eastAsiaTheme="majorEastAsia" w:cstheme="majorBidi"/>
      <w:b/>
      <w:bCs/>
      <w:color w:val="2e74b5"/>
      <w:sz w:val="26"/>
      <w:szCs w:val="26"/>
    </w:rPr>
  </w:style>
  <w:style w:type="paragraph" w:styleId="716">
    <w:name w:val="Heading 3"/>
    <w:basedOn w:val="709"/>
    <w:next w:val="709"/>
    <w:link w:val="729"/>
    <w:uiPriority w:val="9"/>
    <w:unhideWhenUsed/>
    <w:qFormat/>
    <w:pPr>
      <w:keepNext w:val="true"/>
      <w:keepLines w:val="true"/>
      <w:pBdr/>
      <w:spacing w:after="80" w:before="160"/>
      <w:ind/>
      <w:outlineLvl w:val="2"/>
    </w:pPr>
    <w:rPr>
      <w:rFonts w:ascii="Calibri" w:hAnsi="Calibri" w:asciiTheme="majorHAnsi" w:hAnsiTheme="majorHAnsi" w:eastAsiaTheme="majorEastAsia" w:cstheme="majorBidi"/>
      <w:b/>
      <w:bCs/>
      <w:color w:val="1f4d78"/>
      <w:sz w:val="24"/>
    </w:rPr>
  </w:style>
  <w:style w:type="paragraph" w:styleId="717">
    <w:name w:val="Heading 4"/>
    <w:basedOn w:val="709"/>
    <w:next w:val="709"/>
    <w:link w:val="75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8">
    <w:name w:val="Heading 5"/>
    <w:basedOn w:val="709"/>
    <w:next w:val="709"/>
    <w:link w:val="75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9">
    <w:name w:val="Heading 6"/>
    <w:basedOn w:val="709"/>
    <w:next w:val="709"/>
    <w:link w:val="75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0">
    <w:name w:val="Heading 7"/>
    <w:basedOn w:val="709"/>
    <w:next w:val="709"/>
    <w:link w:val="76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1">
    <w:name w:val="Heading 8"/>
    <w:basedOn w:val="709"/>
    <w:next w:val="709"/>
    <w:link w:val="76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2">
    <w:name w:val="Heading 9"/>
    <w:basedOn w:val="709"/>
    <w:next w:val="709"/>
    <w:link w:val="76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3" w:default="1">
    <w:name w:val="Default Paragraph Font"/>
    <w:uiPriority w:val="1"/>
    <w:semiHidden/>
    <w:unhideWhenUsed/>
    <w:pPr>
      <w:pBdr/>
      <w:spacing/>
      <w:ind/>
    </w:pPr>
  </w:style>
  <w:style w:type="table" w:styleId="7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5" w:default="1">
    <w:name w:val="No List"/>
    <w:uiPriority w:val="99"/>
    <w:semiHidden/>
    <w:unhideWhenUsed/>
    <w:pPr>
      <w:pBdr/>
      <w:spacing/>
      <w:ind/>
    </w:pPr>
  </w:style>
  <w:style w:type="paragraph" w:styleId="726">
    <w:name w:val="No Spacing"/>
    <w:uiPriority w:val="1"/>
    <w:qFormat/>
    <w:pPr>
      <w:pBdr/>
      <w:spacing w:after="0" w:line="240" w:lineRule="auto"/>
      <w:ind/>
    </w:pPr>
  </w:style>
  <w:style w:type="character" w:styleId="727" w:customStyle="1">
    <w:name w:val="Heading 1 Char"/>
    <w:basedOn w:val="723"/>
    <w:link w:val="714"/>
    <w:uiPriority w:val="9"/>
    <w:pPr>
      <w:pBdr/>
      <w:spacing/>
      <w:ind/>
    </w:pPr>
    <w:rPr>
      <w:rFonts w:asciiTheme="majorHAnsi" w:hAnsiTheme="majorHAnsi" w:eastAsiaTheme="majorEastAsia" w:cstheme="majorBidi"/>
      <w:b/>
      <w:bCs/>
      <w:color w:val="365f91" w:themeColor="accent1" w:themeShade="BF"/>
      <w:sz w:val="28"/>
      <w:szCs w:val="28"/>
    </w:rPr>
  </w:style>
  <w:style w:type="character" w:styleId="728" w:customStyle="1">
    <w:name w:val="Heading 2 Char"/>
    <w:basedOn w:val="723"/>
    <w:link w:val="715"/>
    <w:uiPriority w:val="9"/>
    <w:pPr>
      <w:pBdr/>
      <w:spacing/>
      <w:ind/>
    </w:pPr>
    <w:rPr>
      <w:rFonts w:asciiTheme="majorHAnsi" w:hAnsiTheme="majorHAnsi" w:eastAsiaTheme="majorEastAsia" w:cstheme="majorBidi"/>
      <w:b/>
      <w:bCs/>
      <w:color w:val="4f81bd" w:themeColor="accent1"/>
      <w:sz w:val="26"/>
      <w:szCs w:val="26"/>
    </w:rPr>
  </w:style>
  <w:style w:type="character" w:styleId="729" w:customStyle="1">
    <w:name w:val="Heading 3 Char"/>
    <w:basedOn w:val="723"/>
    <w:link w:val="716"/>
    <w:uiPriority w:val="9"/>
    <w:pPr>
      <w:pBdr/>
      <w:spacing/>
      <w:ind/>
    </w:pPr>
    <w:rPr>
      <w:rFonts w:asciiTheme="majorHAnsi" w:hAnsiTheme="majorHAnsi" w:eastAsiaTheme="majorEastAsia" w:cstheme="majorBidi"/>
      <w:b/>
      <w:bCs/>
      <w:color w:val="4f81bd" w:themeColor="accent1"/>
    </w:rPr>
  </w:style>
  <w:style w:type="paragraph" w:styleId="730">
    <w:name w:val="Title"/>
    <w:basedOn w:val="709"/>
    <w:next w:val="709"/>
    <w:link w:val="73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1" w:customStyle="1">
    <w:name w:val="Title Char"/>
    <w:basedOn w:val="723"/>
    <w:link w:val="73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2">
    <w:name w:val="Subtitle"/>
    <w:basedOn w:val="709"/>
    <w:next w:val="709"/>
    <w:link w:val="73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3" w:customStyle="1">
    <w:name w:val="Subtitle Char"/>
    <w:basedOn w:val="723"/>
    <w:link w:val="73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4">
    <w:name w:val="List Paragraph"/>
    <w:basedOn w:val="709"/>
    <w:uiPriority w:val="34"/>
    <w:qFormat/>
    <w:pPr>
      <w:pBdr/>
      <w:spacing/>
      <w:ind w:left="720"/>
      <w:contextualSpacing w:val="true"/>
    </w:pPr>
  </w:style>
  <w:style w:type="paragraph" w:styleId="735">
    <w:name w:val="Body Text"/>
    <w:basedOn w:val="709"/>
    <w:link w:val="736"/>
    <w:uiPriority w:val="99"/>
    <w:unhideWhenUsed/>
    <w:pPr>
      <w:pBdr/>
      <w:spacing w:after="120"/>
      <w:ind/>
    </w:pPr>
  </w:style>
  <w:style w:type="character" w:styleId="736" w:customStyle="1">
    <w:name w:val="Body Text Char"/>
    <w:basedOn w:val="723"/>
    <w:link w:val="735"/>
    <w:uiPriority w:val="99"/>
    <w:pPr>
      <w:pBdr/>
      <w:spacing/>
      <w:ind/>
    </w:pPr>
  </w:style>
  <w:style w:type="paragraph" w:styleId="737">
    <w:name w:val="Body Text 2"/>
    <w:basedOn w:val="709"/>
    <w:link w:val="738"/>
    <w:uiPriority w:val="99"/>
    <w:unhideWhenUsed/>
    <w:pPr>
      <w:pBdr/>
      <w:spacing w:after="120" w:line="480" w:lineRule="auto"/>
      <w:ind/>
    </w:pPr>
  </w:style>
  <w:style w:type="character" w:styleId="738" w:customStyle="1">
    <w:name w:val="Body Text 2 Char"/>
    <w:basedOn w:val="723"/>
    <w:link w:val="737"/>
    <w:uiPriority w:val="99"/>
    <w:pPr>
      <w:pBdr/>
      <w:spacing/>
      <w:ind/>
    </w:pPr>
  </w:style>
  <w:style w:type="paragraph" w:styleId="739">
    <w:name w:val="Body Text 3"/>
    <w:basedOn w:val="709"/>
    <w:link w:val="740"/>
    <w:uiPriority w:val="99"/>
    <w:unhideWhenUsed/>
    <w:pPr>
      <w:pBdr/>
      <w:spacing w:after="120"/>
      <w:ind/>
    </w:pPr>
    <w:rPr>
      <w:sz w:val="16"/>
      <w:szCs w:val="16"/>
    </w:rPr>
  </w:style>
  <w:style w:type="character" w:styleId="740" w:customStyle="1">
    <w:name w:val="Body Text 3 Char"/>
    <w:basedOn w:val="723"/>
    <w:link w:val="739"/>
    <w:uiPriority w:val="99"/>
    <w:pPr>
      <w:pBdr/>
      <w:spacing/>
      <w:ind/>
    </w:pPr>
    <w:rPr>
      <w:sz w:val="16"/>
      <w:szCs w:val="16"/>
    </w:rPr>
  </w:style>
  <w:style w:type="paragraph" w:styleId="741">
    <w:name w:val="List"/>
    <w:basedOn w:val="709"/>
    <w:uiPriority w:val="99"/>
    <w:unhideWhenUsed/>
    <w:pPr>
      <w:pBdr/>
      <w:spacing/>
      <w:ind w:hanging="360" w:left="360"/>
      <w:contextualSpacing w:val="true"/>
    </w:pPr>
  </w:style>
  <w:style w:type="paragraph" w:styleId="742">
    <w:name w:val="List 2"/>
    <w:basedOn w:val="709"/>
    <w:uiPriority w:val="99"/>
    <w:unhideWhenUsed/>
    <w:pPr>
      <w:pBdr/>
      <w:spacing/>
      <w:ind w:hanging="360" w:left="720"/>
      <w:contextualSpacing w:val="true"/>
    </w:pPr>
  </w:style>
  <w:style w:type="paragraph" w:styleId="743">
    <w:name w:val="List 3"/>
    <w:basedOn w:val="709"/>
    <w:uiPriority w:val="99"/>
    <w:unhideWhenUsed/>
    <w:pPr>
      <w:pBdr/>
      <w:spacing/>
      <w:ind w:hanging="360" w:left="1080"/>
      <w:contextualSpacing w:val="true"/>
    </w:pPr>
  </w:style>
  <w:style w:type="paragraph" w:styleId="744">
    <w:name w:val="List Bullet"/>
    <w:basedOn w:val="709"/>
    <w:uiPriority w:val="99"/>
    <w:unhideWhenUsed/>
    <w:pPr>
      <w:numPr>
        <w:numId w:val="1"/>
      </w:numPr>
      <w:pBdr/>
      <w:spacing/>
      <w:ind/>
      <w:contextualSpacing w:val="true"/>
    </w:pPr>
  </w:style>
  <w:style w:type="paragraph" w:styleId="745">
    <w:name w:val="List Bullet 2"/>
    <w:basedOn w:val="709"/>
    <w:uiPriority w:val="99"/>
    <w:unhideWhenUsed/>
    <w:pPr>
      <w:numPr>
        <w:numId w:val="2"/>
      </w:numPr>
      <w:pBdr/>
      <w:spacing/>
      <w:ind/>
      <w:contextualSpacing w:val="true"/>
    </w:pPr>
  </w:style>
  <w:style w:type="paragraph" w:styleId="746">
    <w:name w:val="List Bullet 3"/>
    <w:basedOn w:val="709"/>
    <w:uiPriority w:val="99"/>
    <w:unhideWhenUsed/>
    <w:pPr>
      <w:numPr>
        <w:numId w:val="3"/>
      </w:numPr>
      <w:pBdr/>
      <w:spacing/>
      <w:ind/>
      <w:contextualSpacing w:val="true"/>
    </w:pPr>
  </w:style>
  <w:style w:type="paragraph" w:styleId="747">
    <w:name w:val="List Number"/>
    <w:basedOn w:val="709"/>
    <w:uiPriority w:val="99"/>
    <w:unhideWhenUsed/>
    <w:pPr>
      <w:numPr>
        <w:numId w:val="5"/>
      </w:numPr>
      <w:pBdr/>
      <w:spacing/>
      <w:ind/>
      <w:contextualSpacing w:val="true"/>
    </w:pPr>
  </w:style>
  <w:style w:type="paragraph" w:styleId="748">
    <w:name w:val="List Number 2"/>
    <w:basedOn w:val="709"/>
    <w:uiPriority w:val="99"/>
    <w:unhideWhenUsed/>
    <w:pPr>
      <w:numPr>
        <w:numId w:val="6"/>
      </w:numPr>
      <w:pBdr/>
      <w:spacing/>
      <w:ind/>
      <w:contextualSpacing w:val="true"/>
    </w:pPr>
  </w:style>
  <w:style w:type="paragraph" w:styleId="749">
    <w:name w:val="List Number 3"/>
    <w:basedOn w:val="709"/>
    <w:uiPriority w:val="99"/>
    <w:unhideWhenUsed/>
    <w:pPr>
      <w:numPr>
        <w:numId w:val="7"/>
      </w:numPr>
      <w:pBdr/>
      <w:spacing/>
      <w:ind/>
      <w:contextualSpacing w:val="true"/>
    </w:pPr>
  </w:style>
  <w:style w:type="paragraph" w:styleId="750">
    <w:name w:val="List Continue"/>
    <w:basedOn w:val="709"/>
    <w:uiPriority w:val="99"/>
    <w:unhideWhenUsed/>
    <w:pPr>
      <w:pBdr/>
      <w:spacing w:after="120"/>
      <w:ind w:left="360"/>
      <w:contextualSpacing w:val="true"/>
    </w:pPr>
  </w:style>
  <w:style w:type="paragraph" w:styleId="751">
    <w:name w:val="List Continue 2"/>
    <w:basedOn w:val="709"/>
    <w:uiPriority w:val="99"/>
    <w:unhideWhenUsed/>
    <w:pPr>
      <w:pBdr/>
      <w:spacing w:after="120"/>
      <w:ind w:left="720"/>
      <w:contextualSpacing w:val="true"/>
    </w:pPr>
  </w:style>
  <w:style w:type="paragraph" w:styleId="752">
    <w:name w:val="List Continue 3"/>
    <w:basedOn w:val="709"/>
    <w:uiPriority w:val="99"/>
    <w:unhideWhenUsed/>
    <w:pPr>
      <w:pBdr/>
      <w:spacing w:after="120"/>
      <w:ind w:left="1080"/>
      <w:contextualSpacing w:val="true"/>
    </w:pPr>
  </w:style>
  <w:style w:type="paragraph" w:styleId="753">
    <w:name w:val="macro"/>
    <w:link w:val="75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4" w:customStyle="1">
    <w:name w:val="Macro Text Char"/>
    <w:basedOn w:val="723"/>
    <w:link w:val="753"/>
    <w:uiPriority w:val="99"/>
    <w:pPr>
      <w:pBdr/>
      <w:spacing/>
      <w:ind/>
    </w:pPr>
    <w:rPr>
      <w:rFonts w:ascii="Courier" w:hAnsi="Courier"/>
      <w:sz w:val="20"/>
      <w:szCs w:val="20"/>
    </w:rPr>
  </w:style>
  <w:style w:type="paragraph" w:styleId="755">
    <w:name w:val="Quote"/>
    <w:basedOn w:val="709"/>
    <w:next w:val="709"/>
    <w:link w:val="756"/>
    <w:uiPriority w:val="29"/>
    <w:qFormat/>
    <w:pPr>
      <w:pBdr/>
      <w:spacing/>
      <w:ind/>
    </w:pPr>
    <w:rPr>
      <w:i/>
      <w:iCs/>
      <w:color w:val="000000" w:themeColor="text1"/>
    </w:rPr>
  </w:style>
  <w:style w:type="character" w:styleId="756" w:customStyle="1">
    <w:name w:val="Quote Char"/>
    <w:basedOn w:val="723"/>
    <w:link w:val="755"/>
    <w:uiPriority w:val="29"/>
    <w:pPr>
      <w:pBdr/>
      <w:spacing/>
      <w:ind/>
    </w:pPr>
    <w:rPr>
      <w:i/>
      <w:iCs/>
      <w:color w:val="000000" w:themeColor="text1"/>
    </w:rPr>
  </w:style>
  <w:style w:type="character" w:styleId="757" w:customStyle="1">
    <w:name w:val="Heading 4 Char"/>
    <w:basedOn w:val="723"/>
    <w:link w:val="717"/>
    <w:uiPriority w:val="9"/>
    <w:semiHidden/>
    <w:pPr>
      <w:pBdr/>
      <w:spacing/>
      <w:ind/>
    </w:pPr>
    <w:rPr>
      <w:rFonts w:asciiTheme="majorHAnsi" w:hAnsiTheme="majorHAnsi" w:eastAsiaTheme="majorEastAsia" w:cstheme="majorBidi"/>
      <w:b/>
      <w:bCs/>
      <w:i/>
      <w:iCs/>
      <w:color w:val="4f81bd" w:themeColor="accent1"/>
    </w:rPr>
  </w:style>
  <w:style w:type="character" w:styleId="758" w:customStyle="1">
    <w:name w:val="Heading 5 Char"/>
    <w:basedOn w:val="723"/>
    <w:link w:val="718"/>
    <w:uiPriority w:val="9"/>
    <w:semiHidden/>
    <w:pPr>
      <w:pBdr/>
      <w:spacing/>
      <w:ind/>
    </w:pPr>
    <w:rPr>
      <w:rFonts w:asciiTheme="majorHAnsi" w:hAnsiTheme="majorHAnsi" w:eastAsiaTheme="majorEastAsia" w:cstheme="majorBidi"/>
      <w:color w:val="243f60" w:themeColor="accent1" w:themeShade="7F"/>
    </w:rPr>
  </w:style>
  <w:style w:type="character" w:styleId="759" w:customStyle="1">
    <w:name w:val="Heading 6 Char"/>
    <w:basedOn w:val="723"/>
    <w:link w:val="719"/>
    <w:uiPriority w:val="9"/>
    <w:semiHidden/>
    <w:pPr>
      <w:pBdr/>
      <w:spacing/>
      <w:ind/>
    </w:pPr>
    <w:rPr>
      <w:rFonts w:asciiTheme="majorHAnsi" w:hAnsiTheme="majorHAnsi" w:eastAsiaTheme="majorEastAsia" w:cstheme="majorBidi"/>
      <w:i/>
      <w:iCs/>
      <w:color w:val="243f60" w:themeColor="accent1" w:themeShade="7F"/>
    </w:rPr>
  </w:style>
  <w:style w:type="character" w:styleId="760" w:customStyle="1">
    <w:name w:val="Heading 7 Char"/>
    <w:basedOn w:val="723"/>
    <w:link w:val="720"/>
    <w:uiPriority w:val="9"/>
    <w:semiHidden/>
    <w:pPr>
      <w:pBdr/>
      <w:spacing/>
      <w:ind/>
    </w:pPr>
    <w:rPr>
      <w:rFonts w:asciiTheme="majorHAnsi" w:hAnsiTheme="majorHAnsi" w:eastAsiaTheme="majorEastAsia" w:cstheme="majorBidi"/>
      <w:i/>
      <w:iCs/>
      <w:color w:val="404040" w:themeColor="text1" w:themeTint="BF"/>
    </w:rPr>
  </w:style>
  <w:style w:type="character" w:styleId="761" w:customStyle="1">
    <w:name w:val="Heading 8 Char"/>
    <w:basedOn w:val="723"/>
    <w:link w:val="721"/>
    <w:uiPriority w:val="9"/>
    <w:semiHidden/>
    <w:pPr>
      <w:pBdr/>
      <w:spacing/>
      <w:ind/>
    </w:pPr>
    <w:rPr>
      <w:rFonts w:asciiTheme="majorHAnsi" w:hAnsiTheme="majorHAnsi" w:eastAsiaTheme="majorEastAsia" w:cstheme="majorBidi"/>
      <w:color w:val="4f81bd" w:themeColor="accent1"/>
      <w:sz w:val="20"/>
      <w:szCs w:val="20"/>
    </w:rPr>
  </w:style>
  <w:style w:type="character" w:styleId="762" w:customStyle="1">
    <w:name w:val="Heading 9 Char"/>
    <w:basedOn w:val="723"/>
    <w:link w:val="72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3">
    <w:name w:val="Caption"/>
    <w:basedOn w:val="709"/>
    <w:next w:val="709"/>
    <w:uiPriority w:val="35"/>
    <w:semiHidden/>
    <w:unhideWhenUsed/>
    <w:qFormat/>
    <w:pPr>
      <w:pBdr/>
      <w:spacing w:line="240" w:lineRule="auto"/>
      <w:ind/>
    </w:pPr>
    <w:rPr>
      <w:b/>
      <w:bCs/>
      <w:color w:val="4f81bd" w:themeColor="accent1"/>
      <w:sz w:val="18"/>
      <w:szCs w:val="18"/>
    </w:rPr>
  </w:style>
  <w:style w:type="character" w:styleId="764">
    <w:name w:val="Strong"/>
    <w:basedOn w:val="723"/>
    <w:uiPriority w:val="22"/>
    <w:qFormat/>
    <w:pPr>
      <w:pBdr/>
      <w:spacing/>
      <w:ind/>
    </w:pPr>
    <w:rPr>
      <w:b/>
      <w:bCs/>
    </w:rPr>
  </w:style>
  <w:style w:type="character" w:styleId="765">
    <w:name w:val="Emphasis"/>
    <w:basedOn w:val="723"/>
    <w:uiPriority w:val="20"/>
    <w:qFormat/>
    <w:pPr>
      <w:pBdr/>
      <w:spacing/>
      <w:ind/>
    </w:pPr>
    <w:rPr>
      <w:i/>
      <w:iCs/>
    </w:rPr>
  </w:style>
  <w:style w:type="paragraph" w:styleId="766">
    <w:name w:val="Intense Quote"/>
    <w:basedOn w:val="709"/>
    <w:next w:val="709"/>
    <w:link w:val="767"/>
    <w:uiPriority w:val="30"/>
    <w:qFormat/>
    <w:pPr>
      <w:pBdr>
        <w:bottom w:val="single" w:color="4f81bd" w:themeColor="accent1" w:sz="4" w:space="4"/>
      </w:pBdr>
      <w:spacing w:after="280" w:before="200"/>
      <w:ind w:right="936" w:left="936"/>
    </w:pPr>
    <w:rPr>
      <w:b/>
      <w:bCs/>
      <w:i/>
      <w:iCs/>
      <w:color w:val="4f81bd" w:themeColor="accent1"/>
    </w:rPr>
  </w:style>
  <w:style w:type="character" w:styleId="767" w:customStyle="1">
    <w:name w:val="Intense Quote Char"/>
    <w:basedOn w:val="723"/>
    <w:link w:val="766"/>
    <w:uiPriority w:val="30"/>
    <w:pPr>
      <w:pBdr/>
      <w:spacing/>
      <w:ind/>
    </w:pPr>
    <w:rPr>
      <w:b/>
      <w:bCs/>
      <w:i/>
      <w:iCs/>
      <w:color w:val="4f81bd" w:themeColor="accent1"/>
    </w:rPr>
  </w:style>
  <w:style w:type="character" w:styleId="768">
    <w:name w:val="Subtle Emphasis"/>
    <w:basedOn w:val="723"/>
    <w:uiPriority w:val="19"/>
    <w:qFormat/>
    <w:pPr>
      <w:pBdr/>
      <w:spacing/>
      <w:ind/>
    </w:pPr>
    <w:rPr>
      <w:i/>
      <w:iCs/>
      <w:color w:val="808080" w:themeColor="text1" w:themeTint="7F"/>
    </w:rPr>
  </w:style>
  <w:style w:type="character" w:styleId="769">
    <w:name w:val="Intense Emphasis"/>
    <w:basedOn w:val="723"/>
    <w:uiPriority w:val="21"/>
    <w:qFormat/>
    <w:pPr>
      <w:pBdr/>
      <w:spacing/>
      <w:ind/>
    </w:pPr>
    <w:rPr>
      <w:b/>
      <w:bCs/>
      <w:i/>
      <w:iCs/>
      <w:color w:val="4f81bd" w:themeColor="accent1"/>
    </w:rPr>
  </w:style>
  <w:style w:type="character" w:styleId="770">
    <w:name w:val="Subtle Reference"/>
    <w:basedOn w:val="723"/>
    <w:uiPriority w:val="31"/>
    <w:qFormat/>
    <w:pPr>
      <w:pBdr/>
      <w:spacing/>
      <w:ind/>
    </w:pPr>
    <w:rPr>
      <w:smallCaps/>
      <w:color w:val="c0504d" w:themeColor="accent2"/>
      <w:u w:val="single"/>
    </w:rPr>
  </w:style>
  <w:style w:type="character" w:styleId="771">
    <w:name w:val="Intense Reference"/>
    <w:basedOn w:val="723"/>
    <w:uiPriority w:val="32"/>
    <w:qFormat/>
    <w:pPr>
      <w:pBdr/>
      <w:spacing/>
      <w:ind/>
    </w:pPr>
    <w:rPr>
      <w:b/>
      <w:bCs/>
      <w:smallCaps/>
      <w:color w:val="c0504d" w:themeColor="accent2"/>
      <w:spacing w:val="5"/>
      <w:u w:val="single"/>
    </w:rPr>
  </w:style>
  <w:style w:type="character" w:styleId="772">
    <w:name w:val="Book Title"/>
    <w:basedOn w:val="723"/>
    <w:uiPriority w:val="33"/>
    <w:qFormat/>
    <w:pPr>
      <w:pBdr/>
      <w:spacing/>
      <w:ind/>
    </w:pPr>
    <w:rPr>
      <w:b/>
      <w:bCs/>
      <w:smallCaps/>
      <w:spacing w:val="5"/>
    </w:rPr>
  </w:style>
  <w:style w:type="paragraph" w:styleId="773">
    <w:name w:val="TOC Heading"/>
    <w:basedOn w:val="714"/>
    <w:next w:val="709"/>
    <w:uiPriority w:val="39"/>
    <w:semiHidden/>
    <w:unhideWhenUsed/>
    <w:qFormat/>
    <w:pPr>
      <w:pBdr/>
      <w:spacing/>
      <w:ind/>
      <w:outlineLvl w:val="9"/>
    </w:pPr>
  </w:style>
  <w:style w:type="table" w:styleId="774">
    <w:name w:val="Table Grid"/>
    <w:basedOn w:val="7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w:basedOn w:val="72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1"/>
    <w:basedOn w:val="72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2"/>
    <w:basedOn w:val="72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3"/>
    <w:basedOn w:val="72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4"/>
    <w:basedOn w:val="72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5"/>
    <w:basedOn w:val="72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6"/>
    <w:basedOn w:val="72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1"/>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2"/>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3"/>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4"/>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5"/>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6"/>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1"/>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2"/>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3"/>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4"/>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5"/>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6"/>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1"/>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2"/>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3"/>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4"/>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5"/>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6"/>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1"/>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2"/>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3"/>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4"/>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5"/>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6"/>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1"/>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2"/>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3"/>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4"/>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5"/>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6"/>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1"/>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2"/>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3"/>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4"/>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5"/>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6"/>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1"/>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2"/>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3"/>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4"/>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5"/>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6"/>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1"/>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2"/>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3"/>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4"/>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5"/>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6"/>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1"/>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2"/>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3"/>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4"/>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5"/>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6"/>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1"/>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2"/>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3"/>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4"/>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5"/>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6"/>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1"/>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2"/>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3"/>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4"/>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5"/>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6"/>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1"/>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2"/>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3"/>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4"/>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5"/>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6"/>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1"/>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2"/>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3"/>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4"/>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5"/>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6"/>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Kemajuan Riset TISE 3.0 Tahun 2026</dc:title>
  <dc:subject>Program Riset P2MI STEI - Riset Guru Besar</dc:subject>
  <dc:creator>Prof. Ir. Armein Z. R. Langi, M.Sc., Ph.D.</dc:creator>
  <cp:keywords>TISE 3.0, laporan kemajuan, PPMI, publikasi, penggunaan dana</cp:keywords>
  <dc:description>generated by python-docx</dc:description>
  <cp:revision>2</cp:revision>
  <dcterms:created xsi:type="dcterms:W3CDTF">2013-12-23T23:15:00Z</dcterms:created>
  <dcterms:modified xsi:type="dcterms:W3CDTF">2026-08-19T04:08:12Z</dcterms:modified>
  <cp:category/>
</cp:coreProperties>
</file>