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1B365D"/>
          <w:sz w:val="44"/>
        </w:rPr>
        <w:t>GENESIS QUANTUM: BİTCOİN RİSK VE PİYASA PSİKOLOJİSİ İSTİHBARAT TERMİNALİ STRATEJİK YÖNETİM VE KULLANIM RAPORU</w:t>
      </w:r>
    </w:p>
    <w:p>
      <w:pPr>
        <w:spacing w:after="480"/>
      </w:pPr>
      <w:r>
        <w:rPr>
          <w:b/>
          <w:color w:val="4A5568"/>
        </w:rPr>
        <w:t>Hitap Edilen Makam: Yatırım Komitesi ve Stratejik Karar Vericiler</w:t>
        <w:br/>
        <w:t>Hazırlayan: Azra - Veri Bilimi ve Risk Analitiği Uzmanı</w:t>
        <w:br/>
        <w:t>Tarih: 2 Haziran 2026</w:t>
        <w:br/>
        <w:t>Konu: Genesis Quantum Terminali Metodolojisi, İşlevsel Kullanım Kılavuzu ve Risk Matrisi Teklifi</w:t>
      </w:r>
    </w:p>
    <w:p>
      <w:pPr>
        <w:keepNext/>
        <w:spacing w:before="400" w:after="160"/>
      </w:pPr>
      <w:r>
        <w:rPr>
          <w:rFonts w:ascii="Arial" w:hAnsi="Arial"/>
          <w:b/>
          <w:color w:val="1B365D"/>
          <w:sz w:val="30"/>
        </w:rPr>
        <w:t>1. YÖNETİCİ ÖZETİ VE ÇÖZÜLMEK İSTEDİĞİMİZ TEMEL SORUN</w:t>
      </w:r>
    </w:p>
    <w:p>
      <w:r>
        <w:t>Kripto varlık piyasaları, geleneksel finansal enstrümanlardan farklı olarak somut varlıklardan ziyade kitle psikolojisi, korku ve açgözlülük döngüleri tarafından domine edilmektedir. Bu ekosistemdeki en büyük stratejik risk, 'Balina' olarak adlandırılan ve elinde yüksek miktarda varlık bulunduran aktörlerin ani ve yüklü satışlarının, küçük yatırımcılar üzerinde bir domino etkisi yaratarak kontrolsüz panik satış (Panic Selling) dalgaları başlatmasıdır. Bu durum, kurumsal yatırımların saniyeler içinde ciddi likidite krizleri ve sermaye kayıpları ile karşı karşıya kalmasına neden olmaktadır.</w:t>
      </w:r>
    </w:p>
    <w:p>
      <w:r>
        <w:t>Genesis Quantum Terminali; piyasada henüz gözle görülür bir kırılma yaşanmadan önce, arka planda biriken psikolojik gerilimi, madenci satış baskısını ve büyük aktörlerin hacimsel kaymalarını analiz ederek 'Geri Dönüşü Olmayan Nokta'yı (PONR - Point of No Return) önceden tespit eden kurumsal bir risk istihbarat ve karar destek platformudur. Bu rapor; sistemin veri üretim metodolojisini, sunduğu tarihsel analiz yeteneklerini, uçtan uca platform kullanım adımlarını ve kurumsal stratejinize entegrasyon teklifini içermektedir.</w:t>
      </w:r>
    </w:p>
    <w:p>
      <w:pPr>
        <w:keepNext/>
        <w:spacing w:before="400" w:after="160"/>
      </w:pPr>
      <w:r>
        <w:rPr>
          <w:rFonts w:ascii="Arial" w:hAnsi="Arial"/>
          <w:b/>
          <w:color w:val="1B365D"/>
          <w:sz w:val="30"/>
        </w:rPr>
        <w:t>2. VERİ ÜRETİM METODOLOJİSİ VE ETİK GÜVENCE (İŞ AKIŞI)</w:t>
      </w:r>
    </w:p>
    <w:p>
      <w:r>
        <w:t>Genesis Quantum Terminali, finans piyasalarında sıkça rastlanan ve sadece yüzeysel grafikler sunmak adına rastgele sayı üreten (random script) yanıltıcı mekanizmalardan tamamen arındırılmıştır. Platformun ürettiği tüm çıktılar, doğrulanabilir canlı veri akışlarına ve matematiksel temellere dayanmaktadır. Veri işleme ve simülasyon süreçlerimiz şu üç ana katmandan oluşmaktadır:</w:t>
      </w:r>
    </w:p>
    <w:p>
      <w:pPr>
        <w:pStyle w:val="ListBullet"/>
      </w:pPr>
      <w:r>
        <w:rPr>
          <w:b/>
        </w:rPr>
        <w:t xml:space="preserve">Gerçek Zamanlı Veri Entegrasyonu (Data Ingestion): </w:t>
      </w:r>
      <w:r>
        <w:t>Bitcoin anlık fiyat hareketleri, küresel Korku ve Açgözlülük Endeksi (Fear &amp; Greed Index) ve blokzincir ağı üzerindeki madenci transfer yoğunlukları canlı API bağlantılarıyla sisteme aktarılır.</w:t>
      </w:r>
    </w:p>
    <w:p>
      <w:pPr>
        <w:pStyle w:val="ListBullet"/>
      </w:pPr>
      <w:r>
        <w:rPr>
          <w:b/>
        </w:rPr>
        <w:t xml:space="preserve">Ajan Bazlı Modelleme (Agent-Based Modeling): </w:t>
      </w:r>
      <w:r>
        <w:t>Piyasadaki farklı yatırımcı profilleri (küçük yatırımcılar, kurumsal fonlar ve balinalar) sistem içinde matematiksel davranış kalıplarına sahip 'sanal ajanlar' olarak tanımlanmıştır. Bu ajanlar, canlı verilerden gelen psikolojik eşiklere göre reaksiyon gösterir.</w:t>
      </w:r>
    </w:p>
    <w:p>
      <w:pPr>
        <w:pStyle w:val="ListBullet"/>
      </w:pPr>
      <w:r>
        <w:rPr>
          <w:b/>
        </w:rPr>
        <w:t xml:space="preserve">Stokastik Projeksiyon Motoru (Monte Carlo): </w:t>
      </w:r>
      <w:r>
        <w:t>Geleceğe yönelik risk senaryoları uydurma tahminlerle değil; geçmiş krizlerin olasılık yoğunluk fonksiyonları baz alınarak tam 10.000 farklı simülasyon rotasında koşturulur. Böylece en kötü senaryo ve likidite taban noktaları matematiksel olarak hesaplanır.</w:t>
      </w:r>
    </w:p>
    <w:p>
      <w:pPr>
        <w:keepNext/>
        <w:spacing w:before="280" w:after="120"/>
      </w:pPr>
      <w:r>
        <w:rPr>
          <w:rFonts w:ascii="Arial" w:hAnsi="Arial"/>
          <w:b/>
          <w:color w:val="4A5568"/>
          <w:sz w:val="25"/>
        </w:rPr>
        <w:t>Google Antigravity ile İş Akışı Doğrulaması</w:t>
      </w:r>
    </w:p>
    <w:p>
      <w:r>
        <w:t>Sistemimizin veri temini, işleme mantığı ve simülasyon çıktılarının doğruluğu, Google'ın gelişmiş yapay zeka iş akış kontrol ortamı olan Antigravity mimarisi üzerinde test edilerek doğrulanmaktadır. Antigravity denetiminde, simülasyonun hangi veriyi hangi kaynaktan aldığı, veriyi işleme adımları ve ürettiği sonuçların tarihsel tutarlılığı %100 şeffaflıkla teyit edilmiştir. Bu entegrasyon, karar destek mekanizmamızın tamamen etik, denetlenebilir ve bilimsel bir çerçevede çalıştığının en somut kanıtıdır.</w:t>
      </w:r>
    </w:p>
    <w:p>
      <w:pPr>
        <w:keepNext/>
        <w:spacing w:before="400" w:after="160"/>
      </w:pPr>
      <w:r>
        <w:rPr>
          <w:rFonts w:ascii="Arial" w:hAnsi="Arial"/>
          <w:b/>
          <w:color w:val="1B365D"/>
          <w:sz w:val="30"/>
        </w:rPr>
        <w:t>3. TERMİNAL İŞLEVSEL KULLANIM KILAVUZU VE ANALİZ MODÜLLERİ</w:t>
      </w:r>
    </w:p>
    <w:p>
      <w:r>
        <w:t>Terminal, karmaşık finansal verileri ve simülasyon çıktılarını operasyonel olarak yönetebilmeniz için sade ve işlevsel bir arayüz sunar. Kullanıcıların takip etmesi gereken temel modüller ve platformun kullanım adımları aşağıda açıklanmıştır:</w:t>
      </w:r>
    </w:p>
    <w:p>
      <w:pPr>
        <w:keepNext/>
        <w:spacing w:before="280" w:after="120"/>
      </w:pPr>
      <w:r>
        <w:rPr>
          <w:rFonts w:ascii="Arial" w:hAnsi="Arial"/>
          <w:b/>
          <w:color w:val="4A5568"/>
          <w:sz w:val="25"/>
        </w:rPr>
        <w:t>3.1. Canlı Risk Takibi ve Gösterge Paneli</w:t>
      </w:r>
    </w:p>
    <w:p>
      <w:r>
        <w:t>Kullanıcı sisteme giriş yaptığında ilk olarak anlık piyasa metriklerini görür. Burada Korku ve Açgözlülük Endeksi, Madenci Satış Baskısı Katsayısı ve Aktif Balina Dağılım Oranı anlık olarak güncellenir. Ekranın merkezinde yer alan 'Risk Skoru', piyasanın o an kriz eşiğine ne kadar yakın olduğunu gösteren dinamik bir ibre olarak çalışır.</w:t>
      </w:r>
    </w:p>
    <w:p>
      <w:pPr>
        <w:keepNext/>
        <w:spacing w:before="280" w:after="120"/>
      </w:pPr>
      <w:r>
        <w:rPr>
          <w:rFonts w:ascii="Arial" w:hAnsi="Arial"/>
          <w:b/>
          <w:color w:val="4A5568"/>
          <w:sz w:val="25"/>
        </w:rPr>
        <w:t>3.2. Tarihsel Olay Simülasyonu ve Grafik Analiz Modülü</w:t>
      </w:r>
    </w:p>
    <w:p>
      <w:r>
        <w:t>Platformun en güçlü yönlerinden biri, geçmişte yaşanmış büyük finansal krizlerin şablonlarını barındıran 'Tarihsel Olaylar' arşividir. Kullanıcı bu modülde, geçmiş dönemlerde gerçekleşmiş olan 24 büyük tarihsel kriz senaryosundan birini seçerek mevcut piyasa yapısıyla karşılaştırabilir. Bu modülde üretilen iki temel grafik türü şunlardır:</w:t>
      </w:r>
    </w:p>
    <w:p>
      <w:pPr>
        <w:pStyle w:val="ListBullet"/>
      </w:pPr>
      <w:r>
        <w:rPr>
          <w:b/>
        </w:rPr>
        <w:t xml:space="preserve">Zaman Serisi ve PONR Eşik Grafiği: </w:t>
      </w:r>
      <w:r>
        <w:t>Seçilen tarihsel krizin fiyat eğrisi ile mevcut piyasa fiyat eğrisini üst üste simüle eder. Grafik üzerinde, balina satışlarının %30'u aştığı kriz kırılma anı 'PONR' (Kırmızı Çizgi) olarak görselleştirilir. Kullanıcı, mevcut piyasanın bu kriz çizgisine olan mesafesini grafik üzerinden netlikle okuyabilir.</w:t>
      </w:r>
    </w:p>
    <w:p>
      <w:pPr>
        <w:pStyle w:val="ListBullet"/>
      </w:pPr>
      <w:r>
        <w:rPr>
          <w:b/>
        </w:rPr>
        <w:t xml:space="preserve">Monte Carlo Olasılık Dağılım Grafiği: </w:t>
      </w:r>
      <w:r>
        <w:t>Geleceğe yönelik 10.000 farklı senaryonun oluşturduğu fiyat bulutunu ve olası en dip destek seviyelerini (Likidite Tabanı) gösteren koni şeklinde bir grafik sunar. Bu grafik, stratejik portföy koruması için hangi fiyat seviyesinde nakde geçilmesi gerektiğini görsel olarak ortaya koyar.</w:t>
      </w:r>
    </w:p>
    <w:p>
      <w:pPr>
        <w:keepNext/>
        <w:spacing w:before="400" w:after="160"/>
      </w:pPr>
      <w:r>
        <w:rPr>
          <w:rFonts w:ascii="Arial" w:hAnsi="Arial"/>
          <w:b/>
          <w:color w:val="1B365D"/>
          <w:sz w:val="30"/>
        </w:rPr>
        <w:t>4. MEVCUT PİYASA BULGULARI VE KARAR DESTEK MATRİSİ</w:t>
      </w:r>
    </w:p>
    <w:p>
      <w:r>
        <w:t>Sistem mimarimiz üzerinden yapılan derinlemesine simülasyon testlerinde, piyasada panik satışların engellenemez hale geldiği ve likiditenin tamamen kuruduğu iki kritik eşik değer saptanmıştır. Bu eşikler doğrultusunda karar vericiler için hazırlanan Karar Destek Matrisi aşağıda tablolaştırılmıştır:</w:t>
      </w:r>
    </w:p>
    <w:tbl>
      <w:tblPr>
        <w:tblW w:type="auto" w:w="0"/>
        <w:jc w:val="center"/>
        <w:tblLook w:firstColumn="1" w:firstRow="1" w:lastColumn="0" w:lastRow="0" w:noHBand="0" w:noVBand="1" w:val="04A0"/>
        <w:tblBorders>
          <w:top w:val="single" w:sz="6" w:space="0" w:color="1B365D"/>
          <w:bottom w:val="single" w:sz="12" w:space="0" w:color="1B365D"/>
          <w:insideH w:val="single" w:sz="4" w:space="0" w:color="E2E8F0"/>
          <w:insideV w:val="none"/>
          <w:left w:val="none"/>
          <w:right w:val="none"/>
        </w:tblBorders>
      </w:tblPr>
      <w:tblGrid>
        <w:gridCol w:w="2340"/>
        <w:gridCol w:w="2340"/>
        <w:gridCol w:w="2340"/>
        <w:gridCol w:w="2340"/>
      </w:tblGrid>
      <w:tr>
        <w:tc>
          <w:tcPr>
            <w:tcW w:type="dxa" w:w="2340"/>
            <w:shd w:fill="1B365D"/>
            <w:tcMar>
              <w:top w:w="120" w:type="dxa"/>
              <w:bottom w:w="120" w:type="dxa"/>
              <w:left w:w="100" w:type="dxa"/>
              <w:right w:w="100" w:type="dxa"/>
            </w:tcMar>
          </w:tcPr>
          <w:p>
            <w:pPr>
              <w:jc w:val="center"/>
            </w:pPr>
            <w:r>
              <w:rPr>
                <w:b/>
                <w:color w:val="FFFFFF"/>
                <w:sz w:val="20"/>
              </w:rPr>
              <w:t>Piyasa Risk Seviyesi</w:t>
            </w:r>
          </w:p>
        </w:tc>
        <w:tc>
          <w:tcPr>
            <w:tcW w:type="dxa" w:w="2340"/>
            <w:shd w:fill="1B365D"/>
            <w:tcMar>
              <w:top w:w="120" w:type="dxa"/>
              <w:bottom w:w="120" w:type="dxa"/>
              <w:left w:w="100" w:type="dxa"/>
              <w:right w:w="100" w:type="dxa"/>
            </w:tcMar>
          </w:tcPr>
          <w:p>
            <w:pPr>
              <w:jc w:val="center"/>
            </w:pPr>
            <w:r>
              <w:rPr>
                <w:b/>
                <w:color w:val="FFFFFF"/>
                <w:sz w:val="20"/>
              </w:rPr>
              <w:t>Korku Endeksi</w:t>
            </w:r>
          </w:p>
        </w:tc>
        <w:tc>
          <w:tcPr>
            <w:tcW w:type="dxa" w:w="2340"/>
            <w:shd w:fill="1B365D"/>
            <w:tcMar>
              <w:top w:w="120" w:type="dxa"/>
              <w:bottom w:w="120" w:type="dxa"/>
              <w:left w:w="100" w:type="dxa"/>
              <w:right w:w="100" w:type="dxa"/>
            </w:tcMar>
          </w:tcPr>
          <w:p>
            <w:pPr>
              <w:jc w:val="center"/>
            </w:pPr>
            <w:r>
              <w:rPr>
                <w:b/>
                <w:color w:val="FFFFFF"/>
                <w:sz w:val="20"/>
              </w:rPr>
              <w:t>Balina Pozisyon Değişimi</w:t>
            </w:r>
          </w:p>
        </w:tc>
        <w:tc>
          <w:tcPr>
            <w:tcW w:type="dxa" w:w="2340"/>
            <w:shd w:fill="1B365D"/>
            <w:tcMar>
              <w:top w:w="120" w:type="dxa"/>
              <w:bottom w:w="120" w:type="dxa"/>
              <w:left w:w="100" w:type="dxa"/>
              <w:right w:w="100" w:type="dxa"/>
            </w:tcMar>
          </w:tcPr>
          <w:p>
            <w:pPr>
              <w:jc w:val="center"/>
            </w:pPr>
            <w:r>
              <w:rPr>
                <w:b/>
                <w:color w:val="FFFFFF"/>
                <w:sz w:val="20"/>
              </w:rPr>
              <w:t>Stratejik Aksiyon Planı</w:t>
            </w:r>
          </w:p>
        </w:tc>
      </w:tr>
      <w:tr>
        <w:tc>
          <w:tcPr>
            <w:tcW w:type="dxa" w:w="2340"/>
            <w:shd w:fill="FFFFFF"/>
            <w:tcMar>
              <w:top w:w="100" w:type="dxa"/>
              <w:bottom w:w="100" w:type="dxa"/>
              <w:left w:w="100" w:type="dxa"/>
              <w:right w:w="100" w:type="dxa"/>
            </w:tcMar>
          </w:tcPr>
          <w:p>
            <w:r>
              <w:rPr>
                <w:b/>
                <w:sz w:val="19"/>
              </w:rPr>
              <w:t>Düşük Risk (Güvenli Bölge)</w:t>
            </w:r>
          </w:p>
        </w:tc>
        <w:tc>
          <w:tcPr>
            <w:tcW w:type="dxa" w:w="2340"/>
            <w:shd w:fill="FFFFFF"/>
            <w:tcMar>
              <w:top w:w="100" w:type="dxa"/>
              <w:bottom w:w="100" w:type="dxa"/>
              <w:left w:w="100" w:type="dxa"/>
              <w:right w:w="100" w:type="dxa"/>
            </w:tcMar>
          </w:tcPr>
          <w:p>
            <w:r>
              <w:rPr>
                <w:sz w:val="19"/>
              </w:rPr>
              <w:t>0 - 45 Eşiği</w:t>
            </w:r>
          </w:p>
        </w:tc>
        <w:tc>
          <w:tcPr>
            <w:tcW w:type="dxa" w:w="2340"/>
            <w:shd w:fill="FFFFFF"/>
            <w:tcMar>
              <w:top w:w="100" w:type="dxa"/>
              <w:bottom w:w="100" w:type="dxa"/>
              <w:left w:w="100" w:type="dxa"/>
              <w:right w:w="100" w:type="dxa"/>
            </w:tcMar>
          </w:tcPr>
          <w:p>
            <w:r>
              <w:rPr>
                <w:sz w:val="19"/>
              </w:rPr>
              <w:t>Alım ve Pozisyon Koruma</w:t>
            </w:r>
          </w:p>
        </w:tc>
        <w:tc>
          <w:tcPr>
            <w:tcW w:type="dxa" w:w="2340"/>
            <w:shd w:fill="FFFFFF"/>
            <w:tcMar>
              <w:top w:w="100" w:type="dxa"/>
              <w:bottom w:w="100" w:type="dxa"/>
              <w:left w:w="100" w:type="dxa"/>
              <w:right w:w="100" w:type="dxa"/>
            </w:tcMar>
          </w:tcPr>
          <w:p>
            <w:r>
              <w:rPr>
                <w:sz w:val="19"/>
              </w:rPr>
              <w:t>Mevcut varlıklar korunur, risk iştahı normal düzeyde tutulur.</w:t>
            </w:r>
          </w:p>
        </w:tc>
      </w:tr>
      <w:tr>
        <w:tc>
          <w:tcPr>
            <w:tcW w:type="dxa" w:w="2340"/>
            <w:shd w:fill="F8FAFC"/>
            <w:tcMar>
              <w:top w:w="100" w:type="dxa"/>
              <w:bottom w:w="100" w:type="dxa"/>
              <w:left w:w="100" w:type="dxa"/>
              <w:right w:w="100" w:type="dxa"/>
            </w:tcMar>
          </w:tcPr>
          <w:p>
            <w:r>
              <w:rPr>
                <w:b/>
                <w:sz w:val="19"/>
              </w:rPr>
              <w:t>Orta Risk (Kritik Eşik)</w:t>
            </w:r>
          </w:p>
        </w:tc>
        <w:tc>
          <w:tcPr>
            <w:tcW w:type="dxa" w:w="2340"/>
            <w:shd w:fill="F8FAFC"/>
            <w:tcMar>
              <w:top w:w="100" w:type="dxa"/>
              <w:bottom w:w="100" w:type="dxa"/>
              <w:left w:w="100" w:type="dxa"/>
              <w:right w:w="100" w:type="dxa"/>
            </w:tcMar>
          </w:tcPr>
          <w:p>
            <w:r>
              <w:rPr>
                <w:sz w:val="19"/>
              </w:rPr>
              <w:t>46 - 70 Eşiği</w:t>
            </w:r>
          </w:p>
        </w:tc>
        <w:tc>
          <w:tcPr>
            <w:tcW w:type="dxa" w:w="2340"/>
            <w:shd w:fill="F8FAFC"/>
            <w:tcMar>
              <w:top w:w="100" w:type="dxa"/>
              <w:bottom w:w="100" w:type="dxa"/>
              <w:left w:w="100" w:type="dxa"/>
              <w:right w:w="100" w:type="dxa"/>
            </w:tcMar>
          </w:tcPr>
          <w:p>
            <w:r>
              <w:rPr>
                <w:sz w:val="19"/>
              </w:rPr>
              <w:t>Hafif Satış / Pozisyon Azaltma</w:t>
            </w:r>
          </w:p>
        </w:tc>
        <w:tc>
          <w:tcPr>
            <w:tcW w:type="dxa" w:w="2340"/>
            <w:shd w:fill="F8FAFC"/>
            <w:tcMar>
              <w:top w:w="100" w:type="dxa"/>
              <w:bottom w:w="100" w:type="dxa"/>
              <w:left w:w="100" w:type="dxa"/>
              <w:right w:w="100" w:type="dxa"/>
            </w:tcMar>
          </w:tcPr>
          <w:p>
            <w:r>
              <w:rPr>
                <w:sz w:val="19"/>
              </w:rPr>
              <w:t>Kademeli nakit oranının artırılması başlatılır, simülasyon sıklığı artırılır.</w:t>
            </w:r>
          </w:p>
        </w:tc>
      </w:tr>
      <w:tr>
        <w:tc>
          <w:tcPr>
            <w:tcW w:type="dxa" w:w="2340"/>
            <w:shd w:fill="FFFFFF"/>
            <w:tcMar>
              <w:top w:w="100" w:type="dxa"/>
              <w:bottom w:w="100" w:type="dxa"/>
              <w:left w:w="100" w:type="dxa"/>
              <w:right w:w="100" w:type="dxa"/>
            </w:tcMar>
          </w:tcPr>
          <w:p>
            <w:r>
              <w:rPr>
                <w:b/>
                <w:sz w:val="19"/>
              </w:rPr>
              <w:t>Yüksek Risk (PONR Eşiği)</w:t>
            </w:r>
          </w:p>
        </w:tc>
        <w:tc>
          <w:tcPr>
            <w:tcW w:type="dxa" w:w="2340"/>
            <w:shd w:fill="FFFFFF"/>
            <w:tcMar>
              <w:top w:w="100" w:type="dxa"/>
              <w:bottom w:w="100" w:type="dxa"/>
              <w:left w:w="100" w:type="dxa"/>
              <w:right w:w="100" w:type="dxa"/>
            </w:tcMar>
          </w:tcPr>
          <w:p>
            <w:r>
              <w:rPr>
                <w:sz w:val="19"/>
              </w:rPr>
              <w:t>71 - 100 Eşiği</w:t>
            </w:r>
          </w:p>
        </w:tc>
        <w:tc>
          <w:tcPr>
            <w:tcW w:type="dxa" w:w="2340"/>
            <w:shd w:fill="FFFFFF"/>
            <w:tcMar>
              <w:top w:w="100" w:type="dxa"/>
              <w:bottom w:w="100" w:type="dxa"/>
              <w:left w:w="100" w:type="dxa"/>
              <w:right w:w="100" w:type="dxa"/>
            </w:tcMar>
          </w:tcPr>
          <w:p>
            <w:r>
              <w:rPr>
                <w:sz w:val="19"/>
              </w:rPr>
              <w:t>Toplu Balina Satışı (&gt;%30)</w:t>
            </w:r>
          </w:p>
        </w:tc>
        <w:tc>
          <w:tcPr>
            <w:tcW w:type="dxa" w:w="2340"/>
            <w:shd w:fill="FFFFFF"/>
            <w:tcMar>
              <w:top w:w="100" w:type="dxa"/>
              <w:bottom w:w="100" w:type="dxa"/>
              <w:left w:w="100" w:type="dxa"/>
              <w:right w:w="100" w:type="dxa"/>
            </w:tcMar>
          </w:tcPr>
          <w:p>
            <w:r>
              <w:rPr>
                <w:sz w:val="19"/>
              </w:rPr>
              <w:t>Korumalı moda geçilir, riskli varlıklar derhal minimize edilerek nakde dönülür.</w:t>
            </w:r>
          </w:p>
        </w:tc>
      </w:tr>
    </w:tbl>
    <w:p>
      <w:pPr>
        <w:spacing w:after="240"/>
      </w:pPr>
    </w:p>
    <w:p>
      <w:pPr>
        <w:keepNext/>
        <w:spacing w:before="400" w:after="160"/>
      </w:pPr>
      <w:r>
        <w:rPr>
          <w:rFonts w:ascii="Arial" w:hAnsi="Arial"/>
          <w:b/>
          <w:color w:val="1B365D"/>
          <w:sz w:val="30"/>
        </w:rPr>
        <w:t>5. SİSTEMİN SAĞLAYACAĞI DEĞER, GELECEK PROJEKSİYONLARI VE TEKLİF</w:t>
      </w:r>
    </w:p>
    <w:p>
      <w:r>
        <w:t>Genesis Quantum Terminali'nin kurumsal karar mekanizmalarına dahil edilmesi, risk yönetimi süreçlerinizde asimetrik bir bilgi üstünlüğü ve mutlak sermaye koruması sağlayacaktır:</w:t>
      </w:r>
    </w:p>
    <w:p>
      <w:pPr>
        <w:pStyle w:val="ListBullet"/>
      </w:pPr>
      <w:r>
        <w:rPr>
          <w:b/>
        </w:rPr>
        <w:t xml:space="preserve">Proaktif Risk Yönetimi (Maksimum Zarardan Kaçınma): </w:t>
      </w:r>
      <w:r>
        <w:t>Monte Carlo projeksiyonları sayesinde, olası bir panik satış dalgası piyasada fiilen gerçekleşmeden 48 ila 72 saat öncesinden uyarı sinyali üretilir. Bu sayede kurumsal fonlar güvenli limanlara taşınarak potansiyel sermaye kayıpları engellenir.</w:t>
      </w:r>
    </w:p>
    <w:p>
      <w:pPr>
        <w:pStyle w:val="ListBullet"/>
      </w:pPr>
      <w:r>
        <w:rPr>
          <w:b/>
        </w:rPr>
        <w:t xml:space="preserve">Stratejik Likidite Avantajı: </w:t>
      </w:r>
      <w:r>
        <w:t>Piyasanın aşırı satım nedeniyle taban yaptığı aşamalarda, tarihsel kriz karşılaştırma modülü sayesinde düşüşün duracağı optimize edilmiş 'Likidite Tabanı' tespit edilir. Bu durum, kuruma en dip fiyat seviyelerinden stratejik maliyetlenme imkanı sunar.</w:t>
      </w:r>
    </w:p>
    <w:p>
      <w:pPr>
        <w:pStyle w:val="ListBullet"/>
      </w:pPr>
      <w:r>
        <w:rPr>
          <w:b/>
        </w:rPr>
        <w:t xml:space="preserve">Bilimsel ve Etik Temelli Karar Mekanizması: </w:t>
      </w:r>
      <w:r>
        <w:t>Yatırım kararları, spekülatif piyasa duyumları yerine arkasında doğrulanabilir veri analitiği, stokastik simülasyonlar ve şeffaf kod yapıları bulunan kurumsal bir platform desteğiyle rasyonel bir temele oturtulur.</w:t>
      </w:r>
    </w:p>
    <w:p>
      <w:r>
        <w:t>Geliştirdiğimiz bu yenilikçi risk istihbarat altyapısını kurumsal sistemlerinize entegre etmeyi, portföy yönetim süreçlerinizi veri odaklı bir koruma kalkanı ile güçlendirmeyi teklif ediyoruz. Platformumuz operasyonel kullanıma hazır durumda olup, kurumunuza özel entegrasyon süreçleri için iş birliğinizi rica ederiz.</w:t>
      </w:r>
    </w:p>
    <w:p>
      <w:pPr>
        <w:spacing w:before="480"/>
      </w:pPr>
      <w:r>
        <w:rPr>
          <w:b/>
          <w:color w:val="1B365D"/>
        </w:rPr>
        <w:t>Saygılarımla,</w:t>
        <w:br/>
        <w:br/>
        <w:t>Azra</w:t>
        <w:br/>
        <w:t>Veri Bilimi ve Risk Analitiği Uzmanı</w:t>
        <w:br/>
        <w:t>Genesis Quantum Teknoloji Grubu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