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Historias de Usuario Seleccionadas para el Sprint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92944ooov2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1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Implementar generación automática de CSV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Validar compatibilidad con Excel/Pandas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Documentar formato y ejemplos de CSV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1b8ud6fd/Axd7cvz16Tjrl9uWA==">CgMxLjAyDmguMjkyOTQ0b29vdjI4OAByITFFMERtdkNtbUh5V2RGbXlJQll0UGoza1BmWFBvUWZnYQ==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