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ПРОДУКТОВЫЙ БЭКЛОГ И ROADMAP</w:t>
      </w:r>
    </w:p>
    <w:p>
      <w:r>
        <w:rPr>
          <w:color w:val="595959"/>
          <w:sz w:val="22"/>
        </w:rPr>
        <w:t>Проект: Модуль «Полевой инспектор» (ключ проекта: FI) - запуск по спринтам</w:t>
      </w:r>
    </w:p>
    <w:p>
      <w:r>
        <w:rPr>
          <w:sz w:val="20"/>
        </w:rPr>
        <w:t>Запуск разбит на задачи, сгруппированные по спринтам - как в трекере (Jira). Тип: Story - пользовательская ценность, Task - техническая задача. Колонка «Источник» связывает каждую задачу с бизнес-требованием из BRD (BR-01...BR-05).</w:t>
      </w:r>
    </w:p>
    <w:p>
      <w:pPr>
        <w:spacing w:before="200"/>
      </w:pPr>
      <w:r>
        <w:rPr>
          <w:b/>
          <w:color w:val="1F4E79"/>
          <w:sz w:val="26"/>
        </w:rPr>
        <w:t>Roadmap по спринтам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4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Спринт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Цель / веха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Спринт 1-2 - MVP (онлайн)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Регистрация пробы на планшете и запись в LIMS по REST API (Happy Path)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Спринт 3-4 - Надёжность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Офлайн-режим, автоповтор отправки, контроль дубликата пломбы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Спринт 5 - Маркировка и приёмка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Печать QR на пломбу, приёмка пробы лабораторией, UAT</w:t>
            </w:r>
          </w:p>
        </w:tc>
      </w:tr>
    </w:tbl>
    <w:p>
      <w:pPr>
        <w:spacing w:before="200"/>
      </w:pPr>
      <w:r>
        <w:rPr>
          <w:b/>
          <w:color w:val="1F4E79"/>
          <w:sz w:val="26"/>
        </w:rPr>
        <w:t>Бэклог задач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850"/>
        <w:gridCol w:w="4649"/>
        <w:gridCol w:w="850"/>
        <w:gridCol w:w="737"/>
        <w:gridCol w:w="1247"/>
      </w:tblGrid>
      <w:tr>
        <w:tc>
          <w:tcPr>
            <w:tcW w:type="dxa" w:w="73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Ключ</w:t>
            </w:r>
          </w:p>
        </w:tc>
        <w:tc>
          <w:tcPr>
            <w:tcW w:type="dxa" w:w="85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4649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Задача</w:t>
            </w:r>
          </w:p>
        </w:tc>
        <w:tc>
          <w:tcPr>
            <w:tcW w:type="dxa" w:w="85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Приор.</w:t>
            </w:r>
          </w:p>
        </w:tc>
        <w:tc>
          <w:tcPr>
            <w:tcW w:type="dxa" w:w="73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Спринт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Источник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FI-1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Экранная форма регистрации пробы (БИН, договор, пломба)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BR-01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FI-2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Авто-захват GPS-координат и времени при фиксации пробы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BR-02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FI-3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Офлайн-генерация идентификатора пробы (sampleGuid, UUID v4)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FI-4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Таблица dbo.Samples + индекс UNIQUE по Seal_Id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BR-05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FI-5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Отправка пробы по REST API (POST /v1/samples), Happy Path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Маппинг полей JSON в dbo.Samples (интерфейс API-04)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FI-7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Серверная валидация (БИН 12 цифр, обязательные поля) - HTTP 400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BR-01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FI-8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Офлайн-режим: кэширование пакета в SQLite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FI-9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Retry Policy: автоповтор отправки каждые 5 минут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FI-10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Контроль дубликата пломбы - HTTP 409 Conflict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BR-05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FI-11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Идемпотентность отправки по sampleGuid (защита от дублей)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FI-12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Печать QR-кода на мобильном термопринтере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FI-13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Приёмка пробы лаборантом: сканирование QR и сверка с карточкой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/>
                <w:b w:val="0"/>
                <w:sz w:val="18"/>
              </w:rPr>
              <w:t>FI-14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UAT - приёмочное тестирование сквозного сценария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b w:val="0"/>
                <w:sz w:val="18"/>
              </w:rPr>
              <w:t>BR-01-05</w:t>
            </w:r>
          </w:p>
        </w:tc>
      </w:tr>
    </w:tbl>
    <w:p>
      <w:r>
        <w:rPr>
          <w:i/>
          <w:color w:val="595959"/>
          <w:sz w:val="18"/>
        </w:rPr>
        <w:t>Покрытие требований: все пять бизнес-требований BRD (BR-01...BR-05) закрыты минимум одной задачей; задача UAT (FI-14) проверяет сквозной сценарий целиком.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