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F4E79"/>
          <w:sz w:val="32"/>
        </w:rPr>
        <w:t>АНАЛИЗ РАЗРЫВОВ (GAP ANALYSIS)</w:t>
      </w:r>
    </w:p>
    <w:p>
      <w:r>
        <w:rPr>
          <w:rFonts w:ascii="Calibri" w:hAnsi="Calibri" w:cs="Calibri" w:eastAsia="Calibri"/>
          <w:color w:val="595959"/>
          <w:sz w:val="22"/>
        </w:rPr>
        <w:t>Проект: Модуль «Полевой инспектор» - переход от ручного процесса к интеграции с LIMS</w:t>
      </w:r>
    </w:p>
    <w:p>
      <w:r>
        <w:rPr>
          <w:rFonts w:ascii="Calibri" w:hAnsi="Calibri" w:cs="Calibri" w:eastAsia="Calibri"/>
          <w:sz w:val="21"/>
        </w:rPr>
        <w:t>Документ показывает, что нужно изменить, чтобы перейти от текущего процесса (AS-IS) к целевому (TO-BE). Слева - как работает процесс сейчас и в чём «боль», в центре - как будет после автоматизации, справа - что для этого нужно построить.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Сейчас (AS-IS)</w:t>
            </w:r>
          </w:p>
        </w:tc>
        <w:tc>
          <w:tcPr>
            <w:tcW w:type="dxa" w:w="328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Станет (TO-BE)</w:t>
            </w:r>
          </w:p>
        </w:tc>
        <w:tc>
          <w:tcPr>
            <w:tcW w:type="dxa" w:w="3175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Что для этого нужно</w:t>
            </w:r>
          </w:p>
        </w:tc>
      </w:tr>
      <w:tr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Инспектор заполняет бумажный акт вручную</w:t>
            </w:r>
          </w:p>
        </w:tc>
        <w:tc>
          <w:tcPr>
            <w:tcW w:type="dxa" w:w="328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Инспектор заполняет электронную форму пробы на планшете</w:t>
            </w:r>
          </w:p>
        </w:tc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Мобильное приложение инспектора</w:t>
            </w:r>
          </w:p>
        </w:tc>
      </w:tr>
      <w:tr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Лаборант вручную перебивает данные из акта в LIMS</w:t>
            </w:r>
          </w:p>
        </w:tc>
        <w:tc>
          <w:tcPr>
            <w:tcW w:type="dxa" w:w="328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Данные уходят в LIMS автоматически после отправки с планшета</w:t>
            </w:r>
          </w:p>
        </w:tc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Интеграция по REST API (API-04) и маппинг в dbo.Samples</w:t>
            </w:r>
          </w:p>
        </w:tc>
      </w:tr>
      <w:tr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Опечатки и дубли ловят вручную, уточняют по телефону</w:t>
            </w:r>
          </w:p>
        </w:tc>
        <w:tc>
          <w:tcPr>
            <w:tcW w:type="dxa" w:w="328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Система проверяет данные сама и сразу отклоняет неверные</w:t>
            </w:r>
          </w:p>
        </w:tc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Правила валидации на API (HTTP 400 - ошибка, 409 - дубль пломбы)</w:t>
            </w:r>
          </w:p>
        </w:tc>
      </w:tr>
      <w:tr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Связь пробы и записи - рукописный номер пломбы</w:t>
            </w:r>
          </w:p>
        </w:tc>
        <w:tc>
          <w:tcPr>
            <w:tcW w:type="dxa" w:w="328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На пломбу клеится QR-код, привязанный к пробе</w:t>
            </w:r>
          </w:p>
        </w:tc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Генерация идентификатора пробы (GUID) и печать QR</w:t>
            </w:r>
          </w:p>
        </w:tc>
      </w:tr>
      <w:tr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Без связи на объекте процесс останавливается, данные могут потеряться</w:t>
            </w:r>
          </w:p>
        </w:tc>
        <w:tc>
          <w:tcPr>
            <w:tcW w:type="dxa" w:w="328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Проба получает уникальный ID офлайн, данные кэшируются и уходят при связи</w:t>
            </w:r>
          </w:p>
        </w:tc>
        <w:tc>
          <w:tcPr>
            <w:tcW w:type="dxa" w:w="317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sz w:val="20"/>
              </w:rPr>
              <w:t>Офлайн-генерация GUID и локальный кэш (SQLite) с автоотправкой</w:t>
            </w:r>
          </w:p>
        </w:tc>
      </w:tr>
    </w:tbl>
    <w:p/>
    <w:p>
      <w:r>
        <w:rPr>
          <w:rFonts w:ascii="Calibri" w:hAnsi="Calibri" w:cs="Calibri" w:eastAsia="Calibri"/>
          <w:i/>
          <w:color w:val="595959"/>
          <w:sz w:val="18"/>
        </w:rPr>
        <w:t>Подробные модели процессов - в файлах as-is.bpmn и to-be.bpmn; спецификация интеграции - в data-mapping (API-04); демонстрация целевого потока - в интерактивном прототипе.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