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/>
          <w:color w:val="1F4E79"/>
          <w:sz w:val="32"/>
        </w:rPr>
        <w:t>ГЛОССАРИЙ И СЛОВАРЬ ДАННЫХ</w:t>
      </w:r>
    </w:p>
    <w:p>
      <w:r>
        <w:rPr>
          <w:rFonts w:ascii="Calibri" w:hAnsi="Calibri" w:cs="Calibri" w:eastAsia="Calibri"/>
          <w:color w:val="595959"/>
          <w:sz w:val="22"/>
        </w:rPr>
        <w:t>Проект: Модуль «Полевой инспектор» - автоматизация полевого этапа инспекций и интеграция с LIMS</w:t>
      </w:r>
    </w:p>
    <w:p>
      <w:r>
        <w:rPr>
          <w:rFonts w:ascii="Calibri" w:hAnsi="Calibri" w:cs="Calibri" w:eastAsia="Calibri"/>
          <w:sz w:val="21"/>
        </w:rPr>
        <w:t>Единый словарь терминов пакета артефактов. Обеспечивает согласованность терминологии между BRD, FRD, User Stories, Data Mapping, BPMN-моделями и прототипом, а также служит точкой входа в контекст проекта. Раздел 4 - мини-словарь данных целевой таблицы dbo.Samples.</w:t>
      </w:r>
    </w:p>
    <w:p>
      <w:r>
        <w:rPr>
          <w:rFonts w:ascii="Calibri" w:hAnsi="Calibri" w:cs="Calibri" w:eastAsia="Calibri"/>
          <w:b/>
          <w:color w:val="1F4E79"/>
          <w:sz w:val="26"/>
        </w:rPr>
        <w:t>1. Бизнес- и предметные термины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1928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English</w:t>
            </w:r>
          </w:p>
        </w:tc>
        <w:tc>
          <w:tcPr>
            <w:tcW w:type="dxa" w:w="5669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Определение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Проба (образец)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Sample</w:t>
            </w:r>
          </w:p>
        </w:tc>
        <w:tc>
          <w:tcPr>
            <w:tcW w:type="dxa" w:w="566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Отобранная порция материала (нефть / топливо / зерно) для лабораторных испытаний.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Отбор пробы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Sampling</w:t>
            </w:r>
          </w:p>
        </w:tc>
        <w:tc>
          <w:tcPr>
            <w:tcW w:type="dxa" w:w="566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Физическое взятие пробы инспектором на объекте.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Сейф-пакет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Tamper-evident bag</w:t>
            </w:r>
          </w:p>
        </w:tc>
        <w:tc>
          <w:tcPr>
            <w:tcW w:type="dxa" w:w="566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Защищённая упаковка пробы, исключающая вскрытие без следов.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Пломба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Seal</w:t>
            </w:r>
          </w:p>
        </w:tc>
        <w:tc>
          <w:tcPr>
            <w:tcW w:type="dxa" w:w="566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Уникальный номер защитной пломбы сейф-пакета. Бизнес-ключ Seal_Id с ограничением UNIQUE.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Цепочка прослеживаемости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Chain of custody</w:t>
            </w:r>
          </w:p>
        </w:tc>
        <w:tc>
          <w:tcPr>
            <w:tcW w:type="dxa" w:w="566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Непрерывное документирование владения пробой от забора до результата; в модуле обеспечивается связкой GUID ↔ № пломбы ↔ QR.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Полевой инспектор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Field inspector</w:t>
            </w:r>
          </w:p>
        </w:tc>
        <w:tc>
          <w:tcPr>
            <w:tcW w:type="dxa" w:w="5669"/>
          </w:tcPr>
          <w:p>
            <w:r>
              <w:rPr>
                <w:rFonts w:ascii="Calibri" w:hAnsi="Calibri" w:cs="Calibri" w:eastAsia="Calibri"/>
              </w:rPr>
              <w:t>Сотрудник компании, отбирающий пробы на удалённых объектах и фиксирующий их в приложении.</w:t>
            </w:r>
            <w:r>
              <w:rPr>
                <w:rFonts w:ascii="Calibri" w:hAnsi="Calibri" w:cs="Calibri" w:eastAsia="Calibri"/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Лаборант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Lab technician</w:t>
            </w:r>
          </w:p>
        </w:tc>
        <w:tc>
          <w:tcPr>
            <w:tcW w:type="dxa" w:w="566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Сотрудник лаборатории: принимает пробу, сверяет по QR, запускает испытания.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БИН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BIN</w:t>
            </w:r>
          </w:p>
        </w:tc>
        <w:tc>
          <w:tcPr>
            <w:tcW w:type="dxa" w:w="566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Бизнес-идентификационный номер компании-клиента в Казахстане. Строго 12 цифр.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Договор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Contract</w:t>
            </w:r>
          </w:p>
        </w:tc>
        <w:tc>
          <w:tcPr>
            <w:tcW w:type="dxa" w:w="566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Соглашение с клиентом, в рамках которого отбирается проба (ссылка на CRM).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Карточка пробы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Sample record</w:t>
            </w:r>
          </w:p>
        </w:tc>
        <w:tc>
          <w:tcPr>
            <w:tcW w:type="dxa" w:w="566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Запись о пробе в LIMS - строка в таблице dbo.Samples.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Протокол испытаний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Test report</w:t>
            </w:r>
          </w:p>
        </w:tc>
        <w:tc>
          <w:tcPr>
            <w:tcW w:type="dxa" w:w="566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Финальный документ с результатами лабораторных тестов.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cs="Calibri" w:eastAsia="Calibri"/>
              </w:rPr>
              <w:t>Компания (заказчик)</w:t>
            </w:r>
            <w:r>
              <w:rPr>
                <w:rFonts w:ascii="Calibri" w:hAnsi="Calibri" w:cs="Calibri" w:eastAsia="Calibri"/>
                <w:b/>
                <w:sz w:val="18"/>
              </w:rPr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-</w:t>
            </w:r>
          </w:p>
        </w:tc>
        <w:tc>
          <w:tcPr>
            <w:tcW w:type="dxa" w:w="566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Международная компания в сфере TIC; контекст кейса (рынок Казахстана).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TIC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Testing, Inspection, Certification</w:t>
            </w:r>
          </w:p>
        </w:tc>
        <w:tc>
          <w:tcPr>
            <w:tcW w:type="dxa" w:w="566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Отрасль испытаний, инспекций и сертификации, в которой работает модуль.</w:t>
            </w:r>
          </w:p>
        </w:tc>
      </w:tr>
    </w:tbl>
    <w:p>
      <w:r>
        <w:rPr>
          <w:rFonts w:ascii="Calibri" w:hAnsi="Calibri" w:cs="Calibri" w:eastAsia="Calibri"/>
          <w:b/>
          <w:color w:val="1F4E79"/>
          <w:sz w:val="26"/>
        </w:rPr>
        <w:t>2. Системные и интеграционные термины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2268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English / форма</w:t>
            </w:r>
          </w:p>
        </w:tc>
        <w:tc>
          <w:tcPr>
            <w:tcW w:type="dxa" w:w="5443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Определение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LIMS</w:t>
            </w:r>
          </w:p>
        </w:tc>
        <w:tc>
          <w:tcPr>
            <w:tcW w:type="dxa" w:w="226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Laboratory Information Management System</w:t>
            </w:r>
          </w:p>
        </w:tc>
        <w:tc>
          <w:tcPr>
            <w:tcW w:type="dxa" w:w="544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Центральная информационная система лаборатории; принимает данные проб и хранит карточки.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REST API</w:t>
            </w:r>
          </w:p>
        </w:tc>
        <w:tc>
          <w:tcPr>
            <w:tcW w:type="dxa" w:w="226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Representational State Transfer</w:t>
            </w:r>
          </w:p>
        </w:tc>
        <w:tc>
          <w:tcPr>
            <w:tcW w:type="dxa" w:w="544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Стиль интеграции по HTTP; используется для передачи данных пробы с планшета в LIMS.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API-04</w:t>
            </w:r>
          </w:p>
        </w:tc>
        <w:tc>
          <w:tcPr>
            <w:tcW w:type="dxa" w:w="226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Field Samples Ingestion</w:t>
            </w:r>
          </w:p>
        </w:tc>
        <w:tc>
          <w:tcPr>
            <w:tcW w:type="dxa" w:w="544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Интерфейс регистрации полевых образцов. Метод POST, эндпоинт https://api.sgs.kz/v1/samples.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Payload</w:t>
            </w:r>
          </w:p>
        </w:tc>
        <w:tc>
          <w:tcPr>
            <w:tcW w:type="dxa" w:w="226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-</w:t>
            </w:r>
          </w:p>
        </w:tc>
        <w:tc>
          <w:tcPr>
            <w:tcW w:type="dxa" w:w="544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Тело JSON-запроса с данными пробы (sampleMetadata / samplingContext / sampleDetails).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GUID / UUID v4</w:t>
            </w:r>
          </w:p>
        </w:tc>
        <w:tc>
          <w:tcPr>
            <w:tcW w:type="dxa" w:w="226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Globally Unique Identifier</w:t>
            </w:r>
          </w:p>
        </w:tc>
        <w:tc>
          <w:tcPr>
            <w:tcW w:type="dxa" w:w="544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Глобально уникальный идентификатор пробы (sampleGuid). Генерируется офлайн на планшете, вшивается в QR-код, является первичным ключом.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QR-код</w:t>
            </w:r>
          </w:p>
        </w:tc>
        <w:tc>
          <w:tcPr>
            <w:tcW w:type="dxa" w:w="226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QR code</w:t>
            </w:r>
          </w:p>
        </w:tc>
        <w:tc>
          <w:tcPr>
            <w:tcW w:type="dxa" w:w="544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Машиночитаемый код, кодирующий sampleGuid; печатается на термопринтере и наклеивается на пломбу.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MS SQL Server</w:t>
            </w:r>
          </w:p>
        </w:tc>
        <w:tc>
          <w:tcPr>
            <w:tcW w:type="dxa" w:w="226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Microsoft SQL Server</w:t>
            </w:r>
          </w:p>
        </w:tc>
        <w:tc>
          <w:tcPr>
            <w:tcW w:type="dxa" w:w="544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СУБД-приёмник; целевое хранилище данных (схема dbo).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dbo.Samples</w:t>
            </w:r>
          </w:p>
        </w:tc>
        <w:tc>
          <w:tcPr>
            <w:tcW w:type="dxa" w:w="226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-</w:t>
            </w:r>
          </w:p>
        </w:tc>
        <w:tc>
          <w:tcPr>
            <w:tcW w:type="dxa" w:w="544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Основная таблица карточек проб в MS SQL (см. раздел 4).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Интеграционный шлюз</w:t>
            </w:r>
          </w:p>
        </w:tc>
        <w:tc>
          <w:tcPr>
            <w:tcW w:type="dxa" w:w="226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API Gateway</w:t>
            </w:r>
          </w:p>
        </w:tc>
        <w:tc>
          <w:tcPr>
            <w:tcW w:type="dxa" w:w="544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Серверный компонент, принимающий JSON-пакеты, выполняющий валидацию бизнес-правил и запись в СУБД.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JWT / Bearer-токен</w:t>
            </w:r>
          </w:p>
        </w:tc>
        <w:tc>
          <w:tcPr>
            <w:tcW w:type="dxa" w:w="226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JSON Web Token</w:t>
            </w:r>
          </w:p>
        </w:tc>
        <w:tc>
          <w:tcPr>
            <w:tcW w:type="dxa" w:w="544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Токен авторизации инспектора (заголовок Authorization: Bearer). Доменная учётная запись.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Офлайн-режим</w:t>
            </w:r>
          </w:p>
        </w:tc>
        <w:tc>
          <w:tcPr>
            <w:tcW w:type="dxa" w:w="226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Offline Mode</w:t>
            </w:r>
          </w:p>
        </w:tc>
        <w:tc>
          <w:tcPr>
            <w:tcW w:type="dxa" w:w="544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Работа без связи: пакет кэшируется в локальной БД устройства (SQLite) и отправляется позже.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Политика повторов</w:t>
            </w:r>
          </w:p>
        </w:tc>
        <w:tc>
          <w:tcPr>
            <w:tcW w:type="dxa" w:w="226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Retry Policy</w:t>
            </w:r>
          </w:p>
        </w:tc>
        <w:tc>
          <w:tcPr>
            <w:tcW w:type="dxa" w:w="544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Фоновое правило: при отсутствии связи приложение повторяет отправку каждые 5 минут.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Идемпотентность</w:t>
            </w:r>
          </w:p>
        </w:tc>
        <w:tc>
          <w:tcPr>
            <w:tcW w:type="dxa" w:w="226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Idempotency</w:t>
            </w:r>
          </w:p>
        </w:tc>
        <w:tc>
          <w:tcPr>
            <w:tcW w:type="dxa" w:w="544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Свойство, при котором повторная отправка одного пакета (по sampleGuid) не создаёт дублей в БД.</w:t>
            </w:r>
          </w:p>
        </w:tc>
      </w:tr>
    </w:tbl>
    <w:p>
      <w:r>
        <w:rPr>
          <w:rFonts w:ascii="Calibri" w:hAnsi="Calibri" w:cs="Calibri" w:eastAsia="Calibri"/>
        </w:rPr>
        <w:br w:type="page"/>
      </w:r>
    </w:p>
    <w:p>
      <w:r>
        <w:rPr>
          <w:rFonts w:ascii="Calibri" w:hAnsi="Calibri" w:cs="Calibri" w:eastAsia="Calibri"/>
          <w:b/>
          <w:color w:val="1F4E79"/>
          <w:sz w:val="26"/>
        </w:rPr>
        <w:t>3. Аналитические термины и артефакты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Термин</w:t>
            </w:r>
          </w:p>
        </w:tc>
        <w:tc>
          <w:tcPr>
            <w:tcW w:type="dxa" w:w="2381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English / форма</w:t>
            </w:r>
          </w:p>
        </w:tc>
        <w:tc>
          <w:tcPr>
            <w:tcW w:type="dxa" w:w="5329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Определение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AS-IS</w:t>
            </w:r>
          </w:p>
        </w:tc>
        <w:tc>
          <w:tcPr>
            <w:tcW w:type="dxa" w:w="238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As-is</w:t>
            </w:r>
          </w:p>
        </w:tc>
        <w:tc>
          <w:tcPr>
            <w:tcW w:type="dxa" w:w="532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Модель текущего («как есть») процесса. Файл as-is.bpmn.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TO-BE</w:t>
            </w:r>
          </w:p>
        </w:tc>
        <w:tc>
          <w:tcPr>
            <w:tcW w:type="dxa" w:w="238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To-be</w:t>
            </w:r>
          </w:p>
        </w:tc>
        <w:tc>
          <w:tcPr>
            <w:tcW w:type="dxa" w:w="532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Модель целевого («как должно быть») процесса. Файл to-be.bpmn.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BPMN</w:t>
            </w:r>
          </w:p>
        </w:tc>
        <w:tc>
          <w:tcPr>
            <w:tcW w:type="dxa" w:w="238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Business Process Model and Notation</w:t>
            </w:r>
          </w:p>
        </w:tc>
        <w:tc>
          <w:tcPr>
            <w:tcW w:type="dxa" w:w="532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Графическая нотация моделирования бизнес-процессов.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Пул / Дорожка</w:t>
            </w:r>
          </w:p>
        </w:tc>
        <w:tc>
          <w:tcPr>
            <w:tcW w:type="dxa" w:w="238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Pool / Lane</w:t>
            </w:r>
          </w:p>
        </w:tc>
        <w:tc>
          <w:tcPr>
            <w:tcW w:type="dxa" w:w="532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Участник процесса в BPMN (например, «Полевой инспектор», «LIMS», «Лаборант»).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Поток сообщений</w:t>
            </w:r>
          </w:p>
        </w:tc>
        <w:tc>
          <w:tcPr>
            <w:tcW w:type="dxa" w:w="238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Message flow</w:t>
            </w:r>
          </w:p>
        </w:tc>
        <w:tc>
          <w:tcPr>
            <w:tcW w:type="dxa" w:w="532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Взаимодействие между пулами в BPMN (API-вызов, физическая передача пробы).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Разрыв</w:t>
            </w:r>
          </w:p>
        </w:tc>
        <w:tc>
          <w:tcPr>
            <w:tcW w:type="dxa" w:w="238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Gap</w:t>
            </w:r>
          </w:p>
        </w:tc>
        <w:tc>
          <w:tcPr>
            <w:tcW w:type="dxa" w:w="532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Расхождение между состояниями AS-IS и TO-BE, требующее действия.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Анализ разрывов</w:t>
            </w:r>
          </w:p>
        </w:tc>
        <w:tc>
          <w:tcPr>
            <w:tcW w:type="dxa" w:w="238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Gap Analysis</w:t>
            </w:r>
          </w:p>
        </w:tc>
        <w:tc>
          <w:tcPr>
            <w:tcW w:type="dxa" w:w="532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Документ, фиксирующий разрывы и действия по их закрытию (gap-analysis.docx).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Матрица трассируемости</w:t>
            </w:r>
          </w:p>
        </w:tc>
        <w:tc>
          <w:tcPr>
            <w:tcW w:type="dxa" w:w="238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RTM (Requirements Traceability Matrix)</w:t>
            </w:r>
          </w:p>
        </w:tc>
        <w:tc>
          <w:tcPr>
            <w:tcW w:type="dxa" w:w="532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Связь «разрыв → бизнес-цель → требование → User Story → артефакт». Без потерь требований.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BRD</w:t>
            </w:r>
          </w:p>
        </w:tc>
        <w:tc>
          <w:tcPr>
            <w:tcW w:type="dxa" w:w="238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Business Requirements Document</w:t>
            </w:r>
          </w:p>
        </w:tc>
        <w:tc>
          <w:tcPr>
            <w:tcW w:type="dxa" w:w="532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Документ бизнес-требований: проблема, цели, обоснование.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FRD</w:t>
            </w:r>
          </w:p>
        </w:tc>
        <w:tc>
          <w:tcPr>
            <w:tcW w:type="dxa" w:w="238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Functional Requirements Document</w:t>
            </w:r>
          </w:p>
        </w:tc>
        <w:tc>
          <w:tcPr>
            <w:tcW w:type="dxa" w:w="532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Документ функциональных требований к модулю.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Пользовательская история</w:t>
            </w:r>
          </w:p>
        </w:tc>
        <w:tc>
          <w:tcPr>
            <w:tcW w:type="dxa" w:w="238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User Story</w:t>
            </w:r>
          </w:p>
        </w:tc>
        <w:tc>
          <w:tcPr>
            <w:tcW w:type="dxa" w:w="532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Требование в формате «Как роль, я хочу …, чтобы …».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Критерии приёмки</w:t>
            </w:r>
          </w:p>
        </w:tc>
        <w:tc>
          <w:tcPr>
            <w:tcW w:type="dxa" w:w="238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Acceptance Criteria (Given-When-Then)</w:t>
            </w:r>
          </w:p>
        </w:tc>
        <w:tc>
          <w:tcPr>
            <w:tcW w:type="dxa" w:w="532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Условия, при которых история считается выполненной.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Бэклог / Дорожная карта</w:t>
            </w:r>
          </w:p>
        </w:tc>
        <w:tc>
          <w:tcPr>
            <w:tcW w:type="dxa" w:w="238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Backlog / Roadmap</w:t>
            </w:r>
          </w:p>
        </w:tc>
        <w:tc>
          <w:tcPr>
            <w:tcW w:type="dxa" w:w="532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Приоритизированный список работ и план запуска по этапам/спринтам.</w:t>
            </w:r>
          </w:p>
        </w:tc>
      </w:tr>
      <w:tr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8"/>
              </w:rPr>
              <w:t>MVP</w:t>
            </w:r>
          </w:p>
        </w:tc>
        <w:tc>
          <w:tcPr>
            <w:tcW w:type="dxa" w:w="238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Minimum Viable Product</w:t>
            </w:r>
          </w:p>
        </w:tc>
        <w:tc>
          <w:tcPr>
            <w:tcW w:type="dxa" w:w="532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Минимально жизнеспособный продукт - объём первого релиза.</w:t>
            </w:r>
          </w:p>
        </w:tc>
      </w:tr>
    </w:tbl>
    <w:p>
      <w:r>
        <w:rPr>
          <w:rFonts w:ascii="Calibri" w:hAnsi="Calibri" w:cs="Calibri" w:eastAsia="Calibri"/>
        </w:rPr>
        <w:br w:type="page"/>
      </w:r>
    </w:p>
    <w:p>
      <w:r>
        <w:rPr>
          <w:rFonts w:ascii="Calibri" w:hAnsi="Calibri" w:cs="Calibri" w:eastAsia="Calibri"/>
          <w:b/>
          <w:color w:val="1F4E79"/>
          <w:sz w:val="26"/>
        </w:rPr>
        <w:t>4. Мини-словарь данных - таблица dbo.Samples</w:t>
      </w:r>
    </w:p>
    <w:p>
      <w:r>
        <w:rPr>
          <w:rFonts w:ascii="Calibri" w:hAnsi="Calibri" w:cs="Calibri" w:eastAsia="Calibri"/>
          <w:sz w:val="20"/>
        </w:rPr>
        <w:t>Целевая структура карточки пробы в MS SQL Server. Источник истины - спецификация интеграции Data Mapping (интерфейс API-04).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Колонка</w:t>
            </w:r>
          </w:p>
        </w:tc>
        <w:tc>
          <w:tcPr>
            <w:tcW w:type="dxa" w:w="1531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737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Обяз.</w:t>
            </w:r>
          </w:p>
        </w:tc>
        <w:tc>
          <w:tcPr>
            <w:tcW w:type="dxa" w:w="2494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Поле JSON</w:t>
            </w:r>
          </w:p>
        </w:tc>
        <w:tc>
          <w:tcPr>
            <w:tcW w:type="dxa" w:w="2835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Правило / описание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7"/>
              </w:rPr>
              <w:t>Sample_GUID</w:t>
            </w:r>
          </w:p>
        </w:tc>
        <w:tc>
          <w:tcPr>
            <w:tcW w:type="dxa" w:w="153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uniqueidentifier</w:t>
            </w:r>
          </w:p>
        </w:tc>
        <w:tc>
          <w:tcPr>
            <w:tcW w:type="dxa" w:w="737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REQ</w:t>
            </w:r>
          </w:p>
        </w:tc>
        <w:tc>
          <w:tcPr>
            <w:tcW w:type="dxa" w:w="2494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sampleMetadata.sampleGuid</w:t>
            </w:r>
          </w:p>
        </w:tc>
        <w:tc>
          <w:tcPr>
            <w:tcW w:type="dxa" w:w="283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Первичный ключ (PK). UUID v4. Вшивается в QR-код.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7"/>
              </w:rPr>
              <w:t>Inspector_Id</w:t>
            </w:r>
          </w:p>
        </w:tc>
        <w:tc>
          <w:tcPr>
            <w:tcW w:type="dxa" w:w="153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varchar(15)</w:t>
            </w:r>
          </w:p>
        </w:tc>
        <w:tc>
          <w:tcPr>
            <w:tcW w:type="dxa" w:w="737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REQ</w:t>
            </w:r>
          </w:p>
        </w:tc>
        <w:tc>
          <w:tcPr>
            <w:tcW w:type="dxa" w:w="2494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sampleMetadata.inspectorStaffId</w:t>
            </w:r>
          </w:p>
        </w:tc>
        <w:tc>
          <w:tcPr>
            <w:tcW w:type="dxa" w:w="283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ID сотрудника; проверка по справочнику dbo.Employees.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7"/>
              </w:rPr>
              <w:t>Collected_At</w:t>
            </w:r>
          </w:p>
        </w:tc>
        <w:tc>
          <w:tcPr>
            <w:tcW w:type="dxa" w:w="153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datetime2(7)</w:t>
            </w:r>
          </w:p>
        </w:tc>
        <w:tc>
          <w:tcPr>
            <w:tcW w:type="dxa" w:w="737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REQ</w:t>
            </w:r>
          </w:p>
        </w:tc>
        <w:tc>
          <w:tcPr>
            <w:tcW w:type="dxa" w:w="2494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sampleMetadata.timestampLocation</w:t>
            </w:r>
          </w:p>
        </w:tc>
        <w:tc>
          <w:tcPr>
            <w:tcW w:type="dxa" w:w="283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Время забора пробы (часовой пояс Астаны).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7"/>
              </w:rPr>
              <w:t>Contract_Ref</w:t>
            </w:r>
          </w:p>
        </w:tc>
        <w:tc>
          <w:tcPr>
            <w:tcW w:type="dxa" w:w="153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nvarchar(64)</w:t>
            </w:r>
          </w:p>
        </w:tc>
        <w:tc>
          <w:tcPr>
            <w:tcW w:type="dxa" w:w="737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REQ</w:t>
            </w:r>
          </w:p>
        </w:tc>
        <w:tc>
          <w:tcPr>
            <w:tcW w:type="dxa" w:w="2494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samplingContext.contractReference</w:t>
            </w:r>
          </w:p>
        </w:tc>
        <w:tc>
          <w:tcPr>
            <w:tcW w:type="dxa" w:w="283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Номер договора; ссылка на контракт в CRM.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7"/>
              </w:rPr>
              <w:t>Client_BIN</w:t>
            </w:r>
          </w:p>
        </w:tc>
        <w:tc>
          <w:tcPr>
            <w:tcW w:type="dxa" w:w="153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nvarchar(12)</w:t>
            </w:r>
          </w:p>
        </w:tc>
        <w:tc>
          <w:tcPr>
            <w:tcW w:type="dxa" w:w="737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REQ</w:t>
            </w:r>
          </w:p>
        </w:tc>
        <w:tc>
          <w:tcPr>
            <w:tcW w:type="dxa" w:w="2494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samplingContext.clientBin</w:t>
            </w:r>
          </w:p>
        </w:tc>
        <w:tc>
          <w:tcPr>
            <w:tcW w:type="dxa" w:w="283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БИН компании-клиента. Валидация: строго 12 цифр.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7"/>
              </w:rPr>
              <w:t>Geo_Lat</w:t>
            </w:r>
          </w:p>
        </w:tc>
        <w:tc>
          <w:tcPr>
            <w:tcW w:type="dxa" w:w="153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decimal(9,6)</w:t>
            </w:r>
          </w:p>
        </w:tc>
        <w:tc>
          <w:tcPr>
            <w:tcW w:type="dxa" w:w="737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OPT</w:t>
            </w:r>
          </w:p>
        </w:tc>
        <w:tc>
          <w:tcPr>
            <w:tcW w:type="dxa" w:w="2494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samplingContext…latitude</w:t>
            </w:r>
          </w:p>
        </w:tc>
        <w:tc>
          <w:tcPr>
            <w:tcW w:type="dxa" w:w="283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Широта точки забора.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7"/>
              </w:rPr>
              <w:t>Geo_Lng</w:t>
            </w:r>
          </w:p>
        </w:tc>
        <w:tc>
          <w:tcPr>
            <w:tcW w:type="dxa" w:w="153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decimal(9,6)</w:t>
            </w:r>
          </w:p>
        </w:tc>
        <w:tc>
          <w:tcPr>
            <w:tcW w:type="dxa" w:w="737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OPT</w:t>
            </w:r>
          </w:p>
        </w:tc>
        <w:tc>
          <w:tcPr>
            <w:tcW w:type="dxa" w:w="2494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samplingContext…longitude</w:t>
            </w:r>
          </w:p>
        </w:tc>
        <w:tc>
          <w:tcPr>
            <w:tcW w:type="dxa" w:w="283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Долгота точки забора.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7"/>
              </w:rPr>
              <w:t>Material_Code</w:t>
            </w:r>
          </w:p>
        </w:tc>
        <w:tc>
          <w:tcPr>
            <w:tcW w:type="dxa" w:w="153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varchar(20)</w:t>
            </w:r>
          </w:p>
        </w:tc>
        <w:tc>
          <w:tcPr>
            <w:tcW w:type="dxa" w:w="737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REQ</w:t>
            </w:r>
          </w:p>
        </w:tc>
        <w:tc>
          <w:tcPr>
            <w:tcW w:type="dxa" w:w="2494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sampleDetails.materialType</w:t>
            </w:r>
          </w:p>
        </w:tc>
        <w:tc>
          <w:tcPr>
            <w:tcW w:type="dxa" w:w="283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Тип сырья (нефть/топливо/зерно); код справочника TIC.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7"/>
              </w:rPr>
              <w:t>Volume_Qty</w:t>
            </w:r>
          </w:p>
        </w:tc>
        <w:tc>
          <w:tcPr>
            <w:tcW w:type="dxa" w:w="153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decimal(6,2)</w:t>
            </w:r>
          </w:p>
        </w:tc>
        <w:tc>
          <w:tcPr>
            <w:tcW w:type="dxa" w:w="737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REQ</w:t>
            </w:r>
          </w:p>
        </w:tc>
        <w:tc>
          <w:tcPr>
            <w:tcW w:type="dxa" w:w="2494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sampleDetails.volumeLiters</w:t>
            </w:r>
          </w:p>
        </w:tc>
        <w:tc>
          <w:tcPr>
            <w:tcW w:type="dxa" w:w="283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Объём/вес образца. Должен быть &gt; 0.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7"/>
              </w:rPr>
              <w:t>Seal_Id</w:t>
            </w:r>
          </w:p>
        </w:tc>
        <w:tc>
          <w:tcPr>
            <w:tcW w:type="dxa" w:w="153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nvarchar(32)</w:t>
            </w:r>
          </w:p>
        </w:tc>
        <w:tc>
          <w:tcPr>
            <w:tcW w:type="dxa" w:w="737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REQ</w:t>
            </w:r>
          </w:p>
        </w:tc>
        <w:tc>
          <w:tcPr>
            <w:tcW w:type="dxa" w:w="2494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sampleDetails.sealNumber</w:t>
            </w:r>
          </w:p>
        </w:tc>
        <w:tc>
          <w:tcPr>
            <w:tcW w:type="dxa" w:w="283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7"/>
              </w:rPr>
              <w:t>Номер пломбы сейф-пакета. Индекс UNIQUE → контроль 409.</w:t>
            </w:r>
          </w:p>
        </w:tc>
      </w:tr>
    </w:tbl>
    <w:p>
      <w:r>
        <w:rPr>
          <w:rFonts w:ascii="Calibri" w:hAnsi="Calibri" w:cs="Calibri" w:eastAsia="Calibri"/>
          <w:i/>
          <w:color w:val="595959"/>
          <w:sz w:val="17"/>
        </w:rPr>
        <w:t>Словарь данных согласован между спецификацией Data Mapping (API-04), таблицей маппинга FRD §4 и JSON-структурой прототипа: имена колонок, типы и обязательность полей совпадают.</w:t>
      </w:r>
    </w:p>
    <w:p>
      <w:r>
        <w:rPr>
          <w:rFonts w:ascii="Calibri" w:hAnsi="Calibri" w:cs="Calibri" w:eastAsia="Calibri"/>
          <w:b/>
          <w:color w:val="1F4E79"/>
          <w:sz w:val="26"/>
        </w:rPr>
        <w:t>5. Справочник HTTP-кодов (API-04)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Код</w:t>
            </w:r>
          </w:p>
        </w:tc>
        <w:tc>
          <w:tcPr>
            <w:tcW w:type="dxa" w:w="1928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6009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Когда возвращается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8"/>
              </w:rPr>
              <w:t>201 Created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Успех</w:t>
            </w:r>
          </w:p>
        </w:tc>
        <w:tc>
          <w:tcPr>
            <w:tcW w:type="dxa" w:w="600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Запись добавлена в dbo.Samples. Тело: {"status":"success","guid":"…"}.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8"/>
              </w:rPr>
              <w:t>400 Bad Request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Ошибка валидации</w:t>
            </w:r>
          </w:p>
        </w:tc>
        <w:tc>
          <w:tcPr>
            <w:tcW w:type="dxa" w:w="600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Неверный БИН (не 12 цифр), объём ≤ 0, незаполнено обязательное поле. error: VALIDATION_FAILED.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8"/>
              </w:rPr>
              <w:t>401 Unauthorized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Сбой аутентификации</w:t>
            </w:r>
          </w:p>
        </w:tc>
        <w:tc>
          <w:tcPr>
            <w:tcW w:type="dxa" w:w="600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Токен планшета просрочен или отсутствует.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8"/>
              </w:rPr>
              <w:t>409 Conflict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Дубликат бизнес-ключа</w:t>
            </w:r>
          </w:p>
        </w:tc>
        <w:tc>
          <w:tcPr>
            <w:tcW w:type="dxa" w:w="600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Повторное использование номера пломбы. error: DUPLICATE_SEAL.</w:t>
            </w:r>
          </w:p>
        </w:tc>
      </w:tr>
      <w:tr>
        <w:tc>
          <w:tcPr>
            <w:tcW w:type="dxa" w:w="1701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onsolas" w:hAnsi="Consolas" w:cs="Consolas" w:eastAsia="Consolas"/>
                <w:b/>
                <w:sz w:val="18"/>
              </w:rPr>
              <w:t>503 Service Unavailable</w:t>
            </w:r>
          </w:p>
        </w:tc>
        <w:tc>
          <w:tcPr>
            <w:tcW w:type="dxa" w:w="1928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Сбой БД</w:t>
            </w:r>
          </w:p>
        </w:tc>
        <w:tc>
          <w:tcPr>
            <w:tcW w:type="dxa" w:w="600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8"/>
              </w:rPr>
              <w:t>MS SQL недоступен/Deadlock. Включается Retry Policy на планшете.</w:t>
            </w:r>
          </w:p>
        </w:tc>
      </w:tr>
    </w:tbl>
    <w:p>
      <w:r>
        <w:rPr>
          <w:rFonts w:ascii="Calibri" w:hAnsi="Calibri" w:cs="Calibri" w:eastAsia="Calibri"/>
          <w:b/>
          <w:color w:val="1F4E79"/>
          <w:sz w:val="26"/>
        </w:rPr>
        <w:t>6. Статусы пробы на планшете (UI)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Статус</w:t>
            </w:r>
          </w:p>
        </w:tc>
        <w:tc>
          <w:tcPr>
            <w:tcW w:type="dxa" w:w="6803"/>
            <w:shd w:val="clear" w:fill="1F4E79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color w:val="FFFFFF"/>
                <w:sz w:val="19"/>
              </w:rPr>
              <w:t>Когда отображается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9"/>
              </w:rPr>
              <w:t>Сохранено локально (Офлайн)</w:t>
            </w:r>
          </w:p>
        </w:tc>
        <w:tc>
          <w:tcPr>
            <w:tcW w:type="dxa" w:w="680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9"/>
              </w:rPr>
              <w:t>Связь отсутствует; пакет закэширован в SQLite, ожидает отправки.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9"/>
              </w:rPr>
              <w:t>Успешно доставлено</w:t>
            </w:r>
          </w:p>
        </w:tc>
        <w:tc>
          <w:tcPr>
            <w:tcW w:type="dxa" w:w="680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9"/>
              </w:rPr>
              <w:t>Связь восстановлена, пакет принят LIMS (HTTP 201), запись в dbo.Samples создана.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/>
                <w:sz w:val="19"/>
              </w:rPr>
              <w:t>Ошибка: пломба уже зарегистрирована</w:t>
            </w:r>
          </w:p>
        </w:tc>
        <w:tc>
          <w:tcPr>
            <w:tcW w:type="dxa" w:w="6803"/>
          </w:tcPr>
          <w:p>
            <w:r>
              <w:rPr>
                <w:rFonts w:ascii="Calibri" w:hAnsi="Calibri" w:cs="Calibri" w:eastAsia="Calibri"/>
              </w:rPr>
            </w:r>
            <w:r>
              <w:rPr>
                <w:rFonts w:ascii="Calibri" w:hAnsi="Calibri" w:cs="Calibri" w:eastAsia="Calibri"/>
                <w:b w:val="0"/>
                <w:sz w:val="19"/>
              </w:rPr>
              <w:t>Шлюз вернул 409 Conflict; печать QR заблокирована, требуется заменить сейф-пакет.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