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4BFDD2" w14:textId="77777777">
      <w:pPr>
        <w:widowControl/>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Pr>
          <w:rFonts w:ascii="ＭＳ Ｐゴシック" w:eastAsia="ＭＳ Ｐゴシック" w:hAnsi="ＭＳ Ｐゴシック" w:cs="ＭＳ Ｐゴシック"/>
          <w:b/>
          <w:bCs/>
          <w:kern w:val="0"/>
          <w:sz w:val="36"/>
          <w:szCs w:val="36"/>
          <w14:ligatures w14:val="none"/>
        </w:rPr>
        <w:t>最初に確認する質問</w:t>
      </w:r>
    </w:p>
    <w:p w14:paraId="72551ECD" w14:textId="77777777">
      <w:pPr>
        <w:widowControl/>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Pr>
          <w:rFonts w:ascii="ＭＳ Ｐゴシック" w:eastAsia="ＭＳ Ｐゴシック" w:hAnsi="ＭＳ Ｐゴシック" w:cs="ＭＳ Ｐゴシック"/>
          <w:b/>
          <w:bCs/>
          <w:kern w:val="0"/>
          <w:sz w:val="27"/>
          <w:szCs w:val="27"/>
          <w14:ligatures w14:val="none"/>
        </w:rPr>
        <w:t>質問1</w:t>
      </w:r>
    </w:p>
    <w:p w14:paraId="468BA38C"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運営者が物品を買い取らず、所有権を取得せず、提供者から受取人への無償譲渡を仲介するだけの場合、運営者は古物商許可を取得する必要がありますか。</w:t>
      </w:r>
    </w:p>
    <w:p w14:paraId="760DFC1C" w14:textId="77777777">
      <w:pPr>
        <w:widowControl/>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Pr>
          <w:rFonts w:ascii="ＭＳ Ｐゴシック" w:eastAsia="ＭＳ Ｐゴシック" w:hAnsi="ＭＳ Ｐゴシック" w:cs="ＭＳ Ｐゴシック"/>
          <w:b/>
          <w:bCs/>
          <w:kern w:val="0"/>
          <w:sz w:val="27"/>
          <w:szCs w:val="27"/>
          <w14:ligatures w14:val="none"/>
        </w:rPr>
        <w:t>質問2</w:t>
      </w:r>
    </w:p>
    <w:p w14:paraId="118DBE9A"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提供者に付与する「おかげさまポイント」は、換金、譲渡、売買および物品取得には利用できず、寄付予算の配分先指定にしか使えません。</w:t>
      </w:r>
    </w:p>
    <w:p w14:paraId="05D5DA50"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このポイントの付与は、古物の対価または交換に該当しますか。</w:t>
      </w:r>
    </w:p>
    <w:p w14:paraId="7824E3A9" w14:textId="77777777">
      <w:pPr>
        <w:widowControl/>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Pr>
          <w:rFonts w:ascii="ＭＳ Ｐゴシック" w:eastAsia="ＭＳ Ｐゴシック" w:hAnsi="ＭＳ Ｐゴシック" w:cs="ＭＳ Ｐゴシック"/>
          <w:b/>
          <w:bCs/>
          <w:kern w:val="0"/>
          <w:sz w:val="27"/>
          <w:szCs w:val="27"/>
          <w14:ligatures w14:val="none"/>
        </w:rPr>
        <w:t>質問3</w:t>
      </w:r>
    </w:p>
    <w:p w14:paraId="3A3EB7DE"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ポイント数を物品の価格と連動させず、原則として1取引1ポイントとする場合でも、法的な判断は変わりませんか。</w:t>
      </w:r>
    </w:p>
    <w:p w14:paraId="132081AA" w14:textId="77777777">
      <w:pPr>
        <w:widowControl/>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Pr>
          <w:rFonts w:ascii="ＭＳ Ｐゴシック" w:eastAsia="ＭＳ Ｐゴシック" w:hAnsi="ＭＳ Ｐゴシック" w:cs="ＭＳ Ｐゴシック"/>
          <w:b/>
          <w:bCs/>
          <w:kern w:val="0"/>
          <w:sz w:val="27"/>
          <w:szCs w:val="27"/>
          <w14:ligatures w14:val="none"/>
        </w:rPr>
        <w:t>質問4</w:t>
      </w:r>
    </w:p>
    <w:p w14:paraId="611B0B35"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梱包や発送手続をした提供者に、送料額とは無関係に配送協力加算を付与する場合、この加算が古物の対価と評価される可能性はありますか。</w:t>
      </w:r>
    </w:p>
    <w:p w14:paraId="6589CFC9" w14:textId="77777777">
      <w:pPr>
        <w:widowControl/>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Pr>
          <w:rFonts w:ascii="ＭＳ Ｐゴシック" w:eastAsia="ＭＳ Ｐゴシック" w:hAnsi="ＭＳ Ｐゴシック" w:cs="ＭＳ Ｐゴシック"/>
          <w:b/>
          <w:bCs/>
          <w:kern w:val="0"/>
          <w:sz w:val="36"/>
          <w:szCs w:val="36"/>
          <w14:ligatures w14:val="none"/>
        </w:rPr>
        <w:t>運営者の関与範囲に関する質問</w:t>
      </w:r>
    </w:p>
    <w:p w14:paraId="72F5428F" w14:textId="77777777">
      <w:pPr>
        <w:widowControl/>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Pr>
          <w:rFonts w:ascii="ＭＳ Ｐゴシック" w:eastAsia="ＭＳ Ｐゴシック" w:hAnsi="ＭＳ Ｐゴシック" w:cs="ＭＳ Ｐゴシック"/>
          <w:b/>
          <w:bCs/>
          <w:kern w:val="0"/>
          <w:sz w:val="27"/>
          <w:szCs w:val="27"/>
          <w14:ligatures w14:val="none"/>
        </w:rPr>
        <w:t>質問5</w:t>
      </w:r>
    </w:p>
    <w:p w14:paraId="46076168"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運営者が物品を一時的に預かる場合、古物商許可の要否は変わりますか。</w:t>
      </w:r>
    </w:p>
    <w:p w14:paraId="2430BD8E"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変わる場合、次のどの行為が判断の境界になりますか。</w:t>
      </w:r>
    </w:p>
    <w:p w14:paraId="7CE4C434" w14:textId="77777777">
      <w:pPr>
        <w:widowControl/>
        <w:numPr>
          <w:ilvl w:val="0"/>
          <w:numId w:val="1"/>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 xml:space="preserve">単なる一時保管 </w:t>
      </w:r>
    </w:p>
    <w:p w14:paraId="6F47F400" w14:textId="77777777">
      <w:pPr>
        <w:widowControl/>
        <w:numPr>
          <w:ilvl w:val="0"/>
          <w:numId w:val="1"/>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 xml:space="preserve">物品の状態確認 </w:t>
      </w:r>
    </w:p>
    <w:p w14:paraId="3668A09B" w14:textId="77777777">
      <w:pPr>
        <w:widowControl/>
        <w:numPr>
          <w:ilvl w:val="0"/>
          <w:numId w:val="1"/>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 xml:space="preserve">清掃 </w:t>
      </w:r>
    </w:p>
    <w:p w14:paraId="66E636D8" w14:textId="77777777">
      <w:pPr>
        <w:widowControl/>
        <w:numPr>
          <w:ilvl w:val="0"/>
          <w:numId w:val="1"/>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 xml:space="preserve">梱包 </w:t>
      </w:r>
    </w:p>
    <w:p w14:paraId="28D2E2D3" w14:textId="77777777">
      <w:pPr>
        <w:widowControl/>
        <w:numPr>
          <w:ilvl w:val="0"/>
          <w:numId w:val="1"/>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 xml:space="preserve">配送業者への引渡し </w:t>
      </w:r>
    </w:p>
    <w:p w14:paraId="3D5470C6" w14:textId="77777777">
      <w:pPr>
        <w:widowControl/>
        <w:numPr>
          <w:ilvl w:val="0"/>
          <w:numId w:val="1"/>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 xml:space="preserve">受取人への受渡し </w:t>
      </w:r>
    </w:p>
    <w:p w14:paraId="6B7737A4" w14:textId="77777777">
      <w:pPr>
        <w:widowControl/>
        <w:numPr>
          <w:ilvl w:val="0"/>
          <w:numId w:val="1"/>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 xml:space="preserve">譲渡先の決定 </w:t>
      </w:r>
    </w:p>
    <w:p w14:paraId="579E7501" w14:textId="77777777">
      <w:pPr>
        <w:widowControl/>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Pr>
          <w:rFonts w:ascii="ＭＳ Ｐゴシック" w:eastAsia="ＭＳ Ｐゴシック" w:hAnsi="ＭＳ Ｐゴシック" w:cs="ＭＳ Ｐゴシック"/>
          <w:b/>
          <w:bCs/>
          <w:kern w:val="0"/>
          <w:sz w:val="27"/>
          <w:szCs w:val="27"/>
          <w14:ligatures w14:val="none"/>
        </w:rPr>
        <w:t>質問6</w:t>
      </w:r>
    </w:p>
    <w:p w14:paraId="74FB8CE3"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運営者が配送ラベルを発行し、配送業者へ送料を支払う場合、運営者は古物取引の当事者または委託を受けた者と評価されますか。</w:t>
      </w:r>
    </w:p>
    <w:p w14:paraId="7158E563" w14:textId="77777777">
      <w:pPr>
        <w:widowControl/>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Pr>
          <w:rFonts w:ascii="ＭＳ Ｐゴシック" w:eastAsia="ＭＳ Ｐゴシック" w:hAnsi="ＭＳ Ｐゴシック" w:cs="ＭＳ Ｐゴシック"/>
          <w:b/>
          <w:bCs/>
          <w:kern w:val="0"/>
          <w:sz w:val="27"/>
          <w:szCs w:val="27"/>
          <w14:ligatures w14:val="none"/>
        </w:rPr>
        <w:lastRenderedPageBreak/>
        <w:t>質問7</w:t>
      </w:r>
    </w:p>
    <w:p w14:paraId="7A64E9CB"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公共施設や事業所内に受渡拠点を設け、提供者が持ち込んだ物品を受取人が後日受け取る方式を採用する場合、古物商許可は必要ですか。</w:t>
      </w:r>
    </w:p>
    <w:p w14:paraId="0C6A0111" w14:textId="77777777">
      <w:pPr>
        <w:widowControl/>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Pr>
          <w:rFonts w:ascii="ＭＳ Ｐゴシック" w:eastAsia="ＭＳ Ｐゴシック" w:hAnsi="ＭＳ Ｐゴシック" w:cs="ＭＳ Ｐゴシック"/>
          <w:b/>
          <w:bCs/>
          <w:kern w:val="0"/>
          <w:sz w:val="27"/>
          <w:szCs w:val="27"/>
          <w14:ligatures w14:val="none"/>
        </w:rPr>
        <w:t>質問8</w:t>
      </w:r>
    </w:p>
    <w:p w14:paraId="59B7A771"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運営者が提供者と受取人の間のメッセージを確認し、受取人の選定を補助する場合、単なる仲介の範囲を超えることになりますか。</w:t>
      </w:r>
    </w:p>
    <w:p w14:paraId="759F71B7" w14:textId="77777777">
      <w:pPr>
        <w:widowControl/>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Pr>
          <w:rFonts w:ascii="ＭＳ Ｐゴシック" w:eastAsia="ＭＳ Ｐゴシック" w:hAnsi="ＭＳ Ｐゴシック" w:cs="ＭＳ Ｐゴシック"/>
          <w:b/>
          <w:bCs/>
          <w:kern w:val="0"/>
          <w:sz w:val="36"/>
          <w:szCs w:val="36"/>
          <w14:ligatures w14:val="none"/>
        </w:rPr>
        <w:t>本人確認・記録に関する質問</w:t>
      </w:r>
    </w:p>
    <w:p w14:paraId="00DA6741" w14:textId="77777777">
      <w:pPr>
        <w:widowControl/>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Pr>
          <w:rFonts w:ascii="ＭＳ Ｐゴシック" w:eastAsia="ＭＳ Ｐゴシック" w:hAnsi="ＭＳ Ｐゴシック" w:cs="ＭＳ Ｐゴシック"/>
          <w:b/>
          <w:bCs/>
          <w:kern w:val="0"/>
          <w:sz w:val="27"/>
          <w:szCs w:val="27"/>
          <w14:ligatures w14:val="none"/>
        </w:rPr>
        <w:t>質問9</w:t>
      </w:r>
    </w:p>
    <w:p w14:paraId="55B7E022"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古物商許可が不要と判断された場合でも、利用者の本人確認や取引記録について、警察として推奨される方法はありますか。</w:t>
      </w:r>
    </w:p>
    <w:p w14:paraId="0A1E690C" w14:textId="77777777">
      <w:pPr>
        <w:widowControl/>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Pr>
          <w:rFonts w:ascii="ＭＳ Ｐゴシック" w:eastAsia="ＭＳ Ｐゴシック" w:hAnsi="ＭＳ Ｐゴシック" w:cs="ＭＳ Ｐゴシック"/>
          <w:b/>
          <w:bCs/>
          <w:kern w:val="0"/>
          <w:sz w:val="27"/>
          <w:szCs w:val="27"/>
          <w14:ligatures w14:val="none"/>
        </w:rPr>
        <w:t>質問10</w:t>
      </w:r>
    </w:p>
    <w:p w14:paraId="4BB0B77E"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盗品流通防止のため、最低限記録しておくべき情報は何ですか。</w:t>
      </w:r>
    </w:p>
    <w:p w14:paraId="557C3736"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例：</w:t>
      </w:r>
    </w:p>
    <w:p w14:paraId="195EF5AD" w14:textId="77777777">
      <w:pPr>
        <w:widowControl/>
        <w:numPr>
          <w:ilvl w:val="0"/>
          <w:numId w:val="2"/>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 xml:space="preserve">提供者の本人確認情報 </w:t>
      </w:r>
    </w:p>
    <w:p w14:paraId="6B03A644" w14:textId="77777777">
      <w:pPr>
        <w:widowControl/>
        <w:numPr>
          <w:ilvl w:val="0"/>
          <w:numId w:val="2"/>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 xml:space="preserve">物品写真 </w:t>
      </w:r>
    </w:p>
    <w:p w14:paraId="060E764B" w14:textId="77777777">
      <w:pPr>
        <w:widowControl/>
        <w:numPr>
          <w:ilvl w:val="0"/>
          <w:numId w:val="2"/>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 xml:space="preserve">品名・型番 </w:t>
      </w:r>
    </w:p>
    <w:p w14:paraId="73DCCAD3" w14:textId="77777777">
      <w:pPr>
        <w:widowControl/>
        <w:numPr>
          <w:ilvl w:val="0"/>
          <w:numId w:val="2"/>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 xml:space="preserve">製造番号 </w:t>
      </w:r>
    </w:p>
    <w:p w14:paraId="785DE79A" w14:textId="77777777">
      <w:pPr>
        <w:widowControl/>
        <w:numPr>
          <w:ilvl w:val="0"/>
          <w:numId w:val="2"/>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 xml:space="preserve">取得経路 </w:t>
      </w:r>
    </w:p>
    <w:p w14:paraId="458AEEF7" w14:textId="77777777">
      <w:pPr>
        <w:widowControl/>
        <w:numPr>
          <w:ilvl w:val="0"/>
          <w:numId w:val="2"/>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 xml:space="preserve">提供日 </w:t>
      </w:r>
    </w:p>
    <w:p w14:paraId="7DFE427B" w14:textId="77777777">
      <w:pPr>
        <w:widowControl/>
        <w:numPr>
          <w:ilvl w:val="0"/>
          <w:numId w:val="2"/>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 xml:space="preserve">受取人 </w:t>
      </w:r>
    </w:p>
    <w:p w14:paraId="1E497733" w14:textId="77777777">
      <w:pPr>
        <w:widowControl/>
        <w:numPr>
          <w:ilvl w:val="0"/>
          <w:numId w:val="2"/>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 xml:space="preserve">受渡場所 </w:t>
      </w:r>
    </w:p>
    <w:p w14:paraId="036EA597" w14:textId="77777777">
      <w:pPr>
        <w:widowControl/>
        <w:numPr>
          <w:ilvl w:val="0"/>
          <w:numId w:val="2"/>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 xml:space="preserve">メッセージ履歴 </w:t>
      </w:r>
    </w:p>
    <w:p w14:paraId="46D33EF6" w14:textId="77777777">
      <w:pPr>
        <w:widowControl/>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Pr>
          <w:rFonts w:ascii="ＭＳ Ｐゴシック" w:eastAsia="ＭＳ Ｐゴシック" w:hAnsi="ＭＳ Ｐゴシック" w:cs="ＭＳ Ｐゴシック"/>
          <w:b/>
          <w:bCs/>
          <w:kern w:val="0"/>
          <w:sz w:val="27"/>
          <w:szCs w:val="27"/>
          <w14:ligatures w14:val="none"/>
        </w:rPr>
        <w:t>質問11</w:t>
      </w:r>
    </w:p>
    <w:p w14:paraId="31234A8B"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スマートフォンやパソコンなど、盗品リスクの高い物品について、個別に本人確認や製造番号の記録を強化すべきでしょうか。</w:t>
      </w:r>
    </w:p>
    <w:p w14:paraId="31EF94E8" w14:textId="77777777">
      <w:pPr>
        <w:widowControl/>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Pr>
          <w:rFonts w:ascii="ＭＳ Ｐゴシック" w:eastAsia="ＭＳ Ｐゴシック" w:hAnsi="ＭＳ Ｐゴシック" w:cs="ＭＳ Ｐゴシック"/>
          <w:b/>
          <w:bCs/>
          <w:kern w:val="0"/>
          <w:sz w:val="27"/>
          <w:szCs w:val="27"/>
          <w14:ligatures w14:val="none"/>
        </w:rPr>
        <w:t>質問12</w:t>
      </w:r>
    </w:p>
    <w:p w14:paraId="4F305D06"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盗品の疑いがある場合、運営者はどの時点で警察へ届け出るべきですか。また、物品やアカウントをどのように保全すべきですか。</w:t>
      </w:r>
    </w:p>
    <w:p w14:paraId="0D6D99BB" w14:textId="77777777">
      <w:pPr>
        <w:widowControl/>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Pr>
          <w:rFonts w:ascii="ＭＳ Ｐゴシック" w:eastAsia="ＭＳ Ｐゴシック" w:hAnsi="ＭＳ Ｐゴシック" w:cs="ＭＳ Ｐゴシック"/>
          <w:b/>
          <w:bCs/>
          <w:kern w:val="0"/>
          <w:sz w:val="36"/>
          <w:szCs w:val="36"/>
          <w14:ligatures w14:val="none"/>
        </w:rPr>
        <w:t>禁止品・対象物に関する質問</w:t>
      </w:r>
    </w:p>
    <w:p w14:paraId="40AF59A6" w14:textId="77777777">
      <w:pPr>
        <w:widowControl/>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Pr>
          <w:rFonts w:ascii="ＭＳ Ｐゴシック" w:eastAsia="ＭＳ Ｐゴシック" w:hAnsi="ＭＳ Ｐゴシック" w:cs="ＭＳ Ｐゴシック"/>
          <w:b/>
          <w:bCs/>
          <w:kern w:val="0"/>
          <w:sz w:val="27"/>
          <w:szCs w:val="27"/>
          <w14:ligatures w14:val="none"/>
        </w:rPr>
        <w:lastRenderedPageBreak/>
        <w:t>質問13</w:t>
      </w:r>
    </w:p>
    <w:p w14:paraId="220F106B"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現在の禁止品基準で、古物営業または防犯上、追加で禁止・審査対象とすべき品目はありますか。</w:t>
      </w:r>
    </w:p>
    <w:p w14:paraId="36F5ADEA" w14:textId="77777777">
      <w:pPr>
        <w:widowControl/>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Pr>
          <w:rFonts w:ascii="ＭＳ Ｐゴシック" w:eastAsia="ＭＳ Ｐゴシック" w:hAnsi="ＭＳ Ｐゴシック" w:cs="ＭＳ Ｐゴシック"/>
          <w:b/>
          <w:bCs/>
          <w:kern w:val="0"/>
          <w:sz w:val="27"/>
          <w:szCs w:val="27"/>
          <w14:ligatures w14:val="none"/>
        </w:rPr>
        <w:t>質問14</w:t>
      </w:r>
    </w:p>
    <w:p w14:paraId="0A1DCA12"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高級ブランド品、貴金属、宝飾品、スマートフォン、ゲーム機などを一律禁止にする方針は、防犯上妥当でしょうか。</w:t>
      </w:r>
    </w:p>
    <w:p w14:paraId="33DDC2C5" w14:textId="77777777">
      <w:pPr>
        <w:widowControl/>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Pr>
          <w:rFonts w:ascii="ＭＳ Ｐゴシック" w:eastAsia="ＭＳ Ｐゴシック" w:hAnsi="ＭＳ Ｐゴシック" w:cs="ＭＳ Ｐゴシック"/>
          <w:b/>
          <w:bCs/>
          <w:kern w:val="0"/>
          <w:sz w:val="27"/>
          <w:szCs w:val="27"/>
          <w14:ligatures w14:val="none"/>
        </w:rPr>
        <w:t>質問15</w:t>
      </w:r>
    </w:p>
    <w:p w14:paraId="5D85DC2D"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書籍、衣類、日用品、家具、一般家電などに対象を限定して実証運用を開始する場合、特に注意すべき品目はありますか。</w:t>
      </w:r>
    </w:p>
    <w:p w14:paraId="735C97AA" w14:textId="77777777">
      <w:pPr>
        <w:widowControl/>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Pr>
          <w:rFonts w:ascii="ＭＳ Ｐゴシック" w:eastAsia="ＭＳ Ｐゴシック" w:hAnsi="ＭＳ Ｐゴシック" w:cs="ＭＳ Ｐゴシック"/>
          <w:b/>
          <w:bCs/>
          <w:kern w:val="0"/>
          <w:sz w:val="36"/>
          <w:szCs w:val="36"/>
          <w14:ligatures w14:val="none"/>
        </w:rPr>
        <w:t>営業所・申請に関する質問</w:t>
      </w:r>
    </w:p>
    <w:p w14:paraId="4233557C" w14:textId="77777777">
      <w:pPr>
        <w:widowControl/>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Pr>
          <w:rFonts w:ascii="ＭＳ Ｐゴシック" w:eastAsia="ＭＳ Ｐゴシック" w:hAnsi="ＭＳ Ｐゴシック" w:cs="ＭＳ Ｐゴシック"/>
          <w:b/>
          <w:bCs/>
          <w:kern w:val="0"/>
          <w:sz w:val="27"/>
          <w:szCs w:val="27"/>
          <w14:ligatures w14:val="none"/>
        </w:rPr>
        <w:t>質問16</w:t>
      </w:r>
    </w:p>
    <w:p w14:paraId="46635249"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仮に古物商許可が必要な場合、ウェブサービスの主たる営業所は、運営者の住所、事務所、サーバー所在地のうち、どこになると考えられますか。</w:t>
      </w:r>
    </w:p>
    <w:p w14:paraId="6B5884FF" w14:textId="77777777">
      <w:pPr>
        <w:widowControl/>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Pr>
          <w:rFonts w:ascii="ＭＳ Ｐゴシック" w:eastAsia="ＭＳ Ｐゴシック" w:hAnsi="ＭＳ Ｐゴシック" w:cs="ＭＳ Ｐゴシック"/>
          <w:b/>
          <w:bCs/>
          <w:kern w:val="0"/>
          <w:sz w:val="27"/>
          <w:szCs w:val="27"/>
          <w14:ligatures w14:val="none"/>
        </w:rPr>
        <w:t>質問17</w:t>
      </w:r>
    </w:p>
    <w:p w14:paraId="3DF3199B"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自宅を主たる営業所として申請する場合、賃貸借契約、大家・管理会社の承諾、標識の掲示その他に必要な条件はありますか。</w:t>
      </w:r>
    </w:p>
    <w:p w14:paraId="322A2999" w14:textId="77777777">
      <w:pPr>
        <w:widowControl/>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Pr>
          <w:rFonts w:ascii="ＭＳ Ｐゴシック" w:eastAsia="ＭＳ Ｐゴシック" w:hAnsi="ＭＳ Ｐゴシック" w:cs="ＭＳ Ｐゴシック"/>
          <w:b/>
          <w:bCs/>
          <w:kern w:val="0"/>
          <w:sz w:val="27"/>
          <w:szCs w:val="27"/>
          <w14:ligatures w14:val="none"/>
        </w:rPr>
        <w:t>質問18</w:t>
      </w:r>
    </w:p>
    <w:p w14:paraId="168AA7B4"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ウェブサイトを利用して取引を仲介する場合、URLの届出、サイト上の許可番号表示その他の義務はありますか。</w:t>
      </w:r>
    </w:p>
    <w:p w14:paraId="6050650D" w14:textId="77777777">
      <w:pPr>
        <w:widowControl/>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Pr>
          <w:rFonts w:ascii="ＭＳ Ｐゴシック" w:eastAsia="ＭＳ Ｐゴシック" w:hAnsi="ＭＳ Ｐゴシック" w:cs="ＭＳ Ｐゴシック"/>
          <w:b/>
          <w:bCs/>
          <w:kern w:val="0"/>
          <w:sz w:val="27"/>
          <w:szCs w:val="27"/>
          <w14:ligatures w14:val="none"/>
        </w:rPr>
        <w:t>質問19</w:t>
      </w:r>
    </w:p>
    <w:p w14:paraId="07419A90"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将来、運営主体を個人事業から法人へ変更した場合、古物商許可の取り直しが必要ですか。</w:t>
      </w:r>
    </w:p>
    <w:p w14:paraId="7AD33CEF" w14:textId="77777777">
      <w:pPr>
        <w:widowControl/>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Pr>
          <w:rFonts w:ascii="ＭＳ Ｐゴシック" w:eastAsia="ＭＳ Ｐゴシック" w:hAnsi="ＭＳ Ｐゴシック" w:cs="ＭＳ Ｐゴシック"/>
          <w:b/>
          <w:bCs/>
          <w:kern w:val="0"/>
          <w:sz w:val="36"/>
          <w:szCs w:val="36"/>
          <w14:ligatures w14:val="none"/>
        </w:rPr>
        <w:t>最後に確認する質問</w:t>
      </w:r>
    </w:p>
    <w:p w14:paraId="14D586A0" w14:textId="77777777">
      <w:pPr>
        <w:widowControl/>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Pr>
          <w:rFonts w:ascii="ＭＳ Ｐゴシック" w:eastAsia="ＭＳ Ｐゴシック" w:hAnsi="ＭＳ Ｐゴシック" w:cs="ＭＳ Ｐゴシック"/>
          <w:b/>
          <w:bCs/>
          <w:kern w:val="0"/>
          <w:sz w:val="27"/>
          <w:szCs w:val="27"/>
          <w14:ligatures w14:val="none"/>
        </w:rPr>
        <w:t>質問20</w:t>
      </w:r>
    </w:p>
    <w:p w14:paraId="5E9A6DE2"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本日説明した取引フローのうち、制度を修正すれば古物商許可が不要となる可能性がある部分と、許可を前提にすべき部分を教えていただけますか。</w:t>
      </w:r>
    </w:p>
    <w:p w14:paraId="6576550F" w14:textId="77777777">
      <w:pPr>
        <w:widowControl/>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Pr>
          <w:rFonts w:ascii="ＭＳ Ｐゴシック" w:eastAsia="ＭＳ Ｐゴシック" w:hAnsi="ＭＳ Ｐゴシック" w:cs="ＭＳ Ｐゴシック"/>
          <w:b/>
          <w:bCs/>
          <w:kern w:val="0"/>
          <w:sz w:val="27"/>
          <w:szCs w:val="27"/>
          <w14:ligatures w14:val="none"/>
        </w:rPr>
        <w:t>質問21</w:t>
      </w:r>
    </w:p>
    <w:p w14:paraId="07AA181D"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本日の相談内容を踏まえ、サービス開始前に再度相談すべき変更事項は何ですか。</w:t>
      </w:r>
    </w:p>
    <w:p w14:paraId="236BC716"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lastRenderedPageBreak/>
        <w:t>例：</w:t>
      </w:r>
    </w:p>
    <w:p w14:paraId="78C15375" w14:textId="77777777">
      <w:pPr>
        <w:widowControl/>
        <w:numPr>
          <w:ilvl w:val="0"/>
          <w:numId w:val="3"/>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 xml:space="preserve">ポイント制度の変更 </w:t>
      </w:r>
    </w:p>
    <w:p w14:paraId="2BAB9FC0" w14:textId="77777777">
      <w:pPr>
        <w:widowControl/>
        <w:numPr>
          <w:ilvl w:val="0"/>
          <w:numId w:val="3"/>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 xml:space="preserve">配送制度の開始 </w:t>
      </w:r>
    </w:p>
    <w:p w14:paraId="721C401F" w14:textId="77777777">
      <w:pPr>
        <w:widowControl/>
        <w:numPr>
          <w:ilvl w:val="0"/>
          <w:numId w:val="3"/>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 xml:space="preserve">運営者による物品保管 </w:t>
      </w:r>
    </w:p>
    <w:p w14:paraId="40D4C804" w14:textId="77777777">
      <w:pPr>
        <w:widowControl/>
        <w:numPr>
          <w:ilvl w:val="0"/>
          <w:numId w:val="3"/>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 xml:space="preserve">受渡拠点の設置 </w:t>
      </w:r>
    </w:p>
    <w:p w14:paraId="3E0A2AE1" w14:textId="77777777">
      <w:pPr>
        <w:widowControl/>
        <w:numPr>
          <w:ilvl w:val="0"/>
          <w:numId w:val="3"/>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 xml:space="preserve">法人参加 </w:t>
      </w:r>
    </w:p>
    <w:p w14:paraId="271BC305" w14:textId="77777777">
      <w:pPr>
        <w:widowControl/>
        <w:numPr>
          <w:ilvl w:val="0"/>
          <w:numId w:val="3"/>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 xml:space="preserve">有料会員制度 </w:t>
      </w:r>
    </w:p>
    <w:p w14:paraId="6F156304" w14:textId="77777777">
      <w:pPr>
        <w:widowControl/>
        <w:numPr>
          <w:ilvl w:val="0"/>
          <w:numId w:val="3"/>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 xml:space="preserve">広告・協賛制度 </w:t>
      </w:r>
    </w:p>
    <w:p w14:paraId="2284863E" w14:textId="77777777">
      <w:pPr>
        <w:widowControl/>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Pr>
          <w:rFonts w:ascii="ＭＳ Ｐゴシック" w:eastAsia="ＭＳ Ｐゴシック" w:hAnsi="ＭＳ Ｐゴシック" w:cs="ＭＳ Ｐゴシック"/>
          <w:b/>
          <w:bCs/>
          <w:kern w:val="0"/>
          <w:sz w:val="27"/>
          <w:szCs w:val="27"/>
          <w14:ligatures w14:val="none"/>
        </w:rPr>
        <w:t>質問22</w:t>
      </w:r>
    </w:p>
    <w:p w14:paraId="511EC0AE"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今回の内容について、警察本部または岡山県公安委員会の担当部署にも照会した方がよいでしょうか。</w:t>
      </w:r>
    </w:p>
    <w:p w14:paraId="23D2A9FB" w14:textId="77777777">
      <w:pPr>
        <w:widowControl/>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Pr>
          <w:rFonts w:ascii="ＭＳ Ｐゴシック" w:eastAsia="ＭＳ Ｐゴシック" w:hAnsi="ＭＳ Ｐゴシック" w:cs="ＭＳ Ｐゴシック"/>
          <w:b/>
          <w:bCs/>
          <w:kern w:val="0"/>
          <w:sz w:val="27"/>
          <w:szCs w:val="27"/>
          <w14:ligatures w14:val="none"/>
        </w:rPr>
        <w:t>質問23</w:t>
      </w:r>
    </w:p>
    <w:p w14:paraId="63CFC2B2" w14:textId="7777777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kern w:val="0"/>
          <w:sz w:val="24"/>
          <w14:ligatures w14:val="none"/>
        </w:rPr>
        <w:t>古物営業法以外に、警察の所管内で注意すべき法令または手続がありますか。</w:t>
      </w:r>
    </w:p>
    <w:p w14:paraId="19A8A51E" w14:textId="77777777"/>
    <w:sectPr>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691206"/>
    <w:multiLevelType w:val="multilevel"/>
    <w:tmpl w:val="4E6E3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663AD3"/>
    <w:multiLevelType w:val="multilevel"/>
    <w:tmpl w:val="DEE80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B2005E"/>
    <w:multiLevelType w:val="multilevel"/>
    <w:tmpl w:val="75060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7564175">
    <w:abstractNumId w:val="0"/>
  </w:num>
  <w:num w:numId="2" w16cid:durableId="2131631237">
    <w:abstractNumId w:val="2"/>
  </w:num>
  <w:num w:numId="3" w16cid:durableId="15397821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840"/>
  <w:drawingGridHorizontalSpacing w:val="11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AFE"/>
    <w:rsid w:val="002C4D40"/>
    <w:rsid w:val="00354AFE"/>
    <w:rsid w:val="00857E0D"/>
    <w:rsid w:val="00FD4A8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90A987B"/>
  <w15:chartTrackingRefBased/>
  <w15:docId w15:val="{02B60A6F-77F2-4DFE-AC53-BE1A1473E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54AF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354AF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354AF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354AF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354AF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354AF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354AF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354AF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354AF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54AFE"/>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354AFE"/>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354AFE"/>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354AFE"/>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354AFE"/>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354AFE"/>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354AFE"/>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354AFE"/>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354AFE"/>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354AF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354AF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54AF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354AF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54AFE"/>
    <w:pPr>
      <w:spacing w:before="160"/>
      <w:jc w:val="center"/>
    </w:pPr>
    <w:rPr>
      <w:i/>
      <w:iCs/>
      <w:color w:val="404040" w:themeColor="text1" w:themeTint="BF"/>
    </w:rPr>
  </w:style>
  <w:style w:type="character" w:customStyle="1" w:styleId="a8">
    <w:name w:val="引用文 (文字)"/>
    <w:basedOn w:val="a0"/>
    <w:link w:val="a7"/>
    <w:uiPriority w:val="29"/>
    <w:rsid w:val="00354AFE"/>
    <w:rPr>
      <w:i/>
      <w:iCs/>
      <w:color w:val="404040" w:themeColor="text1" w:themeTint="BF"/>
    </w:rPr>
  </w:style>
  <w:style w:type="paragraph" w:styleId="a9">
    <w:name w:val="List Paragraph"/>
    <w:basedOn w:val="a"/>
    <w:uiPriority w:val="34"/>
    <w:qFormat/>
    <w:rsid w:val="00354AFE"/>
    <w:pPr>
      <w:ind w:left="720"/>
      <w:contextualSpacing/>
    </w:pPr>
  </w:style>
  <w:style w:type="character" w:styleId="21">
    <w:name w:val="Intense Emphasis"/>
    <w:basedOn w:val="a0"/>
    <w:uiPriority w:val="21"/>
    <w:qFormat/>
    <w:rsid w:val="00354AFE"/>
    <w:rPr>
      <w:i/>
      <w:iCs/>
      <w:color w:val="0F4761" w:themeColor="accent1" w:themeShade="BF"/>
    </w:rPr>
  </w:style>
  <w:style w:type="paragraph" w:styleId="22">
    <w:name w:val="Intense Quote"/>
    <w:basedOn w:val="a"/>
    <w:next w:val="a"/>
    <w:link w:val="23"/>
    <w:uiPriority w:val="30"/>
    <w:qFormat/>
    <w:rsid w:val="00354A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354AFE"/>
    <w:rPr>
      <w:i/>
      <w:iCs/>
      <w:color w:val="0F4761" w:themeColor="accent1" w:themeShade="BF"/>
    </w:rPr>
  </w:style>
  <w:style w:type="character" w:styleId="24">
    <w:name w:val="Intense Reference"/>
    <w:basedOn w:val="a0"/>
    <w:uiPriority w:val="32"/>
    <w:qFormat/>
    <w:rsid w:val="00354A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8007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248</Words>
  <Characters>1418</Characters>
  <Application>Microsoft Office Word</Application>
  <DocSecurity>0</DocSecurity>
  <Lines>11</Lines>
  <Paragraphs>3</Paragraphs>
  <ScaleCrop>false</ScaleCrop>
  <Company/>
  <LinksUpToDate>false</LinksUpToDate>
  <CharactersWithSpaces>1663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cp:lastPrinted>2026-07-20T08:26:00Z</cp:lastPrinted>
  <dcterms:created xsi:type="dcterms:W3CDTF">2026-07-20T08:26:00Z</dcterms:created>
  <dcterms:modified xsi:type="dcterms:W3CDTF">2026-07-20T08:27:00Z</dcterms:modified>
</cp:coreProperties>
</file>