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Corrección autónoma de trayectoria para la intercepción de asteroides peligrosos</w:t>
      </w:r>
    </w:p>
    <w:p>
      <w:pPr>
        <w:pStyle w:val="Subtitle"/>
      </w:pPr>
      <w:r>
        <w:t xml:space="preserve">Guiado por aprendizaje por refuerzo vs navegación proporcional aumentada — Propuesta de diseño experimental</w:t>
      </w:r>
    </w:p>
    <w:p>
      <w:pPr>
        <w:pStyle w:val="Author"/>
      </w:pPr>
      <w:r>
        <w:t xml:space="preserve">Adonai Samael Hernández Mata (azulls1) · azull.samael@gmail.com</w:t>
      </w:r>
    </w:p>
    <w:p>
      <w:pPr>
        <w:pStyle w:val="Date"/>
      </w:pPr>
      <w:r>
        <w:t xml:space="preserve">Maestría en IA · Investigación en Inteligencia Artificial · Actividad 1 · Junio 2026</w:t>
      </w:r>
    </w:p>
    <w:bookmarkStart w:id="9" w:name="introducción-y-motivación"/>
    <w:p>
      <w:pPr>
        <w:pStyle w:val="Heading1"/>
      </w:pPr>
      <w:r>
        <w:t xml:space="preserve">1. Introducción y motivación</w:t>
      </w:r>
    </w:p>
    <w:p>
      <w:pPr>
        <w:pStyle w:val="FirstParagraph"/>
      </w:pPr>
      <w:r>
        <w:t xml:space="preserve">La defensa planetaria ante objetos cercanos a la Tierra (NEOs) potencialmente peligrosos dejó de ser teórica: en septiembre de 2022 la misión</w:t>
      </w:r>
      <w:r>
        <w:t xml:space="preserve"> </w:t>
      </w:r>
      <w:r>
        <w:rPr>
          <w:b/>
          <w:bCs/>
        </w:rPr>
        <w:t xml:space="preserve">DART</w:t>
      </w:r>
      <w:r>
        <w:t xml:space="preserve"> </w:t>
      </w:r>
      <w:r>
        <w:t xml:space="preserve">de la NASA impactó el asteroide Dimorphos y midió una alteración real de su órbita —una reducción de 2.70 ± 0.10 mm/s en su velocidad orbital, con un factor de transferencia de momento</w:t>
      </w:r>
      <w:r>
        <w:t xml:space="preserve"> </w:t>
      </w:r>
      <w:r>
        <w:rPr>
          <w:i/>
          <w:iCs/>
        </w:rPr>
        <w:t xml:space="preserve">beta</w:t>
      </w:r>
      <w:r>
        <w:t xml:space="preserve"> </w:t>
      </w:r>
      <w:r>
        <w:t xml:space="preserve">entre 2.2 y 4.9 [1]—, demostrando que un impactador cinético es una estrategia de mitigación viable. Sin embargo, durante la</w:t>
      </w:r>
      <w:r>
        <w:t xml:space="preserve"> </w:t>
      </w:r>
      <w:r>
        <w:rPr>
          <w:b/>
          <w:bCs/>
        </w:rPr>
        <w:t xml:space="preserve">fase terminal de aproximación</w:t>
      </w:r>
      <w:r>
        <w:t xml:space="preserve"> </w:t>
      </w:r>
      <w:r>
        <w:t xml:space="preserve">el retardo de la señal Tierra–sonda (minutos) impide el control desde tierra: el guiado debe ser</w:t>
      </w:r>
      <w:r>
        <w:t xml:space="preserve"> </w:t>
      </w:r>
      <w:r>
        <w:rPr>
          <w:b/>
          <w:bCs/>
        </w:rPr>
        <w:t xml:space="preserve">autónomo y recalcularse a bordo en tiempo real</w:t>
      </w:r>
      <w:r>
        <w:t xml:space="preserve">.</w:t>
      </w:r>
    </w:p>
    <w:p>
      <w:pPr>
        <w:pStyle w:val="BodyText"/>
      </w:pPr>
      <w:r>
        <w:t xml:space="preserve">Los métodos clásicos de guiado —navegación proporcional y control óptimo basado en el problema de Lambert— son precisos, pero asumen una dinámica conocida y, bajo incertidumbre realista (masa y forma del objetivo desconocidas, gravedad multicuerpo, presión de radiación solar, ruido de sensores), pierden robustez o resultan computacionalmente costosos para ejecutarse a bordo. Trabajos recientes aplican</w:t>
      </w:r>
      <w:r>
        <w:t xml:space="preserve"> </w:t>
      </w:r>
      <w:r>
        <w:rPr>
          <w:b/>
          <w:bCs/>
        </w:rPr>
        <w:t xml:space="preserve">aprendizaje por refuerzo (RL)</w:t>
      </w:r>
      <w:r>
        <w:t xml:space="preserve"> </w:t>
      </w:r>
      <w:r>
        <w:t xml:space="preserve">al guiado de naves, con resultados prometedores en operaciones de proximidad a asteroides [2] y un creciente cuerpo de investigación en guiado y control basado en IA [3]. No obstante, persiste un hueco:</w:t>
      </w:r>
      <w:r>
        <w:t xml:space="preserve"> </w:t>
      </w:r>
      <w:r>
        <w:rPr>
          <w:b/>
          <w:bCs/>
        </w:rPr>
        <w:t xml:space="preserve">no existe una comparación cuantitativa y estadísticamente rigurosa entre el guiado aprendido y el clásico, bajo incertidumbre realista, para la intercepción de cuerpos pequeños</w:t>
      </w:r>
      <w:r>
        <w:t xml:space="preserve">. Esta propuesta diseña —sin ejecutarlo— ese experimento controlado y reproducible.</w:t>
      </w:r>
    </w:p>
    <w:bookmarkEnd w:id="9"/>
    <w:bookmarkStart w:id="10" w:name="hipótesis"/>
    <w:p>
      <w:pPr>
        <w:pStyle w:val="Heading1"/>
      </w:pPr>
      <w:r>
        <w:t xml:space="preserve">2. Hipótesis</w:t>
      </w:r>
    </w:p>
    <w:p>
      <w:pPr>
        <w:pStyle w:val="FirstParagraph"/>
      </w:pPr>
      <w:r>
        <w:rPr>
          <w:b/>
          <w:bCs/>
        </w:rPr>
        <w:t xml:space="preserve">H1 (alternativa):</w:t>
      </w:r>
      <w:r>
        <w:t xml:space="preserve"> </w:t>
      </w:r>
      <w:r>
        <w:t xml:space="preserve">Un controlador de guiado basado en aprendizaje por refuerzo (política recurrente meta-entrenada) reducirá la</w:t>
      </w:r>
      <w:r>
        <w:t xml:space="preserve"> </w:t>
      </w:r>
      <w:r>
        <w:rPr>
          <w:b/>
          <w:bCs/>
        </w:rPr>
        <w:t xml:space="preserve">distancia de fallo</w:t>
      </w:r>
      <w:r>
        <w:t xml:space="preserve"> </w:t>
      </w:r>
      <w:r>
        <w:t xml:space="preserve">(</w:t>
      </w:r>
      <w:r>
        <w:rPr>
          <w:i/>
          <w:iCs/>
        </w:rPr>
        <w:t xml:space="preserve">miss distance</w:t>
      </w:r>
      <w:r>
        <w:t xml:space="preserve">) media en la intercepción terminal de un cuerpo pequeño en</w:t>
      </w:r>
      <w:r>
        <w:t xml:space="preserve"> </w:t>
      </w:r>
      <w:r>
        <w:rPr>
          <w:b/>
          <w:bCs/>
        </w:rPr>
        <w:t xml:space="preserve">al menos 30 %</w:t>
      </w:r>
      <w:r>
        <w:t xml:space="preserve"> </w:t>
      </w:r>
      <w:r>
        <w:t xml:space="preserve">respecto al guiado clásico por</w:t>
      </w:r>
      <w:r>
        <w:t xml:space="preserve"> </w:t>
      </w:r>
      <w:r>
        <w:rPr>
          <w:b/>
          <w:bCs/>
        </w:rPr>
        <w:t xml:space="preserve">navegación proporcional aumentada (APN)</w:t>
      </w:r>
      <w:r>
        <w:t xml:space="preserve">, bajo incertidumbre en la masa del objetivo, perturbaciones de gravedad multicuerpo, presión de radiación solar y ruido de medición, evaluado con prueba pareada (α = 0.05).</w:t>
      </w:r>
    </w:p>
    <w:p>
      <w:pPr>
        <w:pStyle w:val="BodyText"/>
      </w:pPr>
      <w:r>
        <w:rPr>
          <w:b/>
          <w:bCs/>
        </w:rPr>
        <w:t xml:space="preserve">H0 (nula):</w:t>
      </w:r>
      <w:r>
        <w:t xml:space="preserve"> </w:t>
      </w:r>
      <w:r>
        <w:t xml:space="preserve">No existe diferencia estadísticamente significativa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en la distancia de fallo media entre el controlador aprendido y el guiado clásico APN sobre el mismo conjunto de escenarios.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 independiente</w:t>
      </w:r>
      <w:r>
        <w:t xml:space="preserve">: estrategia de guiado (APN clásico vs RL aprendido).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 dependiente</w:t>
      </w:r>
      <w:r>
        <w:t xml:space="preserve">: distancia de fallo (m), con métricas de soporte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(coste de maniobra) y latencia de cómputo.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Variables de control</w:t>
      </w:r>
      <w:r>
        <w:t xml:space="preserve">: simulador y su versión, efemérides, semilla aleatoria, paso de integración, hardware de cómputo, horizonte temporal de la maniobra.</w:t>
      </w:r>
    </w:p>
    <w:p>
      <w:pPr>
        <w:pStyle w:val="FirstParagraph"/>
      </w:pPr>
      <w:r>
        <w:rPr>
          <w:b/>
          <w:bCs/>
        </w:rPr>
        <w:t xml:space="preserve">Criterio explícito de refutación:</w:t>
      </w:r>
      <w:r>
        <w:t xml:space="preserve"> </w:t>
      </w:r>
      <w:r>
        <w:t xml:space="preserve">la hipótesis se considerará</w:t>
      </w:r>
      <w:r>
        <w:t xml:space="preserve"> </w:t>
      </w:r>
      <w:r>
        <w:rPr>
          <w:b/>
          <w:bCs/>
        </w:rPr>
        <w:t xml:space="preserve">refutada</w:t>
      </w:r>
      <w:r>
        <w:t xml:space="preserve"> </w:t>
      </w:r>
      <w:r>
        <w:t xml:space="preserve">si, sobre el conjunto de escenarios de prueba, la reducción media de la distancia de fallo es</w:t>
      </w:r>
      <w:r>
        <w:t xml:space="preserve"> </w:t>
      </w:r>
      <w:r>
        <w:rPr>
          <w:b/>
          <w:bCs/>
        </w:rPr>
        <w:t xml:space="preserve">menor a 30 %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si la prueba de Wilcoxon pareada arroja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≥ 0.05; en ese caso aceptaríamos H0.</w:t>
      </w:r>
    </w:p>
    <w:bookmarkEnd w:id="10"/>
    <w:bookmarkStart w:id="17" w:name="metodología"/>
    <w:p>
      <w:pPr>
        <w:pStyle w:val="Heading1"/>
      </w:pPr>
      <w:r>
        <w:t xml:space="preserve">3. Metodología</w:t>
      </w:r>
    </w:p>
    <w:bookmarkStart w:id="11" w:name="diseño-experimental"/>
    <w:p>
      <w:pPr>
        <w:pStyle w:val="Heading2"/>
      </w:pPr>
      <w:r>
        <w:t xml:space="preserve">3.1. Diseño experimental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experimental controlado</w:t>
      </w:r>
      <w:r>
        <w:t xml:space="preserve"> </w:t>
      </w:r>
      <w:r>
        <w:t xml:space="preserve">de tipo cuantitativo mediante</w:t>
      </w:r>
      <w:r>
        <w:t xml:space="preserve"> </w:t>
      </w:r>
      <w:r>
        <w:rPr>
          <w:b/>
          <w:bCs/>
        </w:rPr>
        <w:t xml:space="preserve">simulación Monte Carlo</w:t>
      </w:r>
      <w:r>
        <w:t xml:space="preserve">. La unidad de análisis es un</w:t>
      </w:r>
      <w:r>
        <w:t xml:space="preserve"> </w:t>
      </w:r>
      <w:r>
        <w:rPr>
          <w:i/>
          <w:iCs/>
        </w:rPr>
        <w:t xml:space="preserve">escenario de intercepción</w:t>
      </w:r>
      <w:r>
        <w:t xml:space="preserve">. Se compara la variable dependiente entre las condiciones de guiado aplicadas sobre los</w:t>
      </w:r>
      <w:r>
        <w:t xml:space="preserve"> </w:t>
      </w:r>
      <w:r>
        <w:rPr>
          <w:b/>
          <w:bCs/>
        </w:rPr>
        <w:t xml:space="preserve">mismos escenarios</w:t>
      </w:r>
      <w:r>
        <w:t xml:space="preserve"> </w:t>
      </w:r>
      <w:r>
        <w:t xml:space="preserve">(diseño pareado), aislando el efecto de la estrategia de guiado.</w:t>
      </w:r>
    </w:p>
    <w:bookmarkEnd w:id="11"/>
    <w:bookmarkStart w:id="12" w:name="escenarios-datos-y-muestreo"/>
    <w:p>
      <w:pPr>
        <w:pStyle w:val="Heading2"/>
      </w:pPr>
      <w:r>
        <w:t xml:space="preserve">3.2. Escenarios, datos y muestreo</w:t>
      </w:r>
    </w:p>
    <w:p>
      <w:pPr>
        <w:pStyle w:val="FirstParagraph"/>
      </w:pPr>
      <w:r>
        <w:t xml:space="preserve">No se emplea un dataset descargable: los escenarios se generan con un</w:t>
      </w:r>
      <w:r>
        <w:t xml:space="preserve"> </w:t>
      </w:r>
      <w:r>
        <w:rPr>
          <w:b/>
          <w:bCs/>
        </w:rPr>
        <w:t xml:space="preserve">simulador de dinámica de N cuerpos de alta fidelidad</w:t>
      </w:r>
      <w:r>
        <w:t xml:space="preserve">. Cada escenario muestrea los parámetros del asteroide objetivo —masa, tamaño, geometría y velocidad de aproximación— de distribuciones</w:t>
      </w:r>
      <w:r>
        <w:t xml:space="preserve"> </w:t>
      </w:r>
      <w:r>
        <w:rPr>
          <w:b/>
          <w:bCs/>
        </w:rPr>
        <w:t xml:space="preserve">ancladas en el catálogo real JPL Small-Body Database</w:t>
      </w:r>
      <w:r>
        <w:t xml:space="preserve"> </w:t>
      </w:r>
      <w:r>
        <w:t xml:space="preserve">de NEOs conocidos. Las perturbaciones modeladas incluyen gravedad de terceros cuerpos (Sol y planetas, vía efemérides DE440), presión de radiación solar y un modelo de ruido de sensores sobre la posición y velocidad relativas. El tamaño objetivo es de</w:t>
      </w:r>
      <w:r>
        <w:t xml:space="preserve"> </w:t>
      </w:r>
      <w:r>
        <w:rPr>
          <w:b/>
          <w:bCs/>
        </w:rPr>
        <w:t xml:space="preserve">10 000 escenarios</w:t>
      </w:r>
      <w:r>
        <w:t xml:space="preserve">, suficiente para estimaciones de alta precisión (ver §3.5). La</w:t>
      </w:r>
      <w:r>
        <w:t xml:space="preserve"> </w:t>
      </w:r>
      <w:r>
        <w:rPr>
          <w:b/>
          <w:bCs/>
        </w:rPr>
        <w:t xml:space="preserve">representatividad</w:t>
      </w:r>
      <w:r>
        <w:t xml:space="preserve"> </w:t>
      </w:r>
      <w:r>
        <w:t xml:space="preserve">del conjunto frente a la población real de NEOs se verifica comparando las distribuciones muestreadas con el catálogo mediante una prueba de Kolmogorov–Smirnov (se exige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0.05, no se rechaza igualdad). El simulador, los parámetros y las semillas se liberan para auditoría bajo licencia abierta.</w:t>
      </w:r>
    </w:p>
    <w:bookmarkEnd w:id="12"/>
    <w:bookmarkStart w:id="13" w:name="conjuntos-de-entrenamiento-y-validación"/>
    <w:p>
      <w:pPr>
        <w:pStyle w:val="Heading2"/>
      </w:pPr>
      <w:r>
        <w:t xml:space="preserve">3.3. Conjuntos de entrenamiento y validación</w:t>
      </w:r>
    </w:p>
    <w:p>
      <w:pPr>
        <w:pStyle w:val="FirstParagraph"/>
      </w:pPr>
      <w:r>
        <w:t xml:space="preserve">La política RL se entrena sobre un subconjunto de escenarios y se valida en otro; el conjunto de</w:t>
      </w:r>
      <w:r>
        <w:t xml:space="preserve"> </w:t>
      </w:r>
      <w:r>
        <w:rPr>
          <w:b/>
          <w:bCs/>
        </w:rPr>
        <w:t xml:space="preserve">prueba se reserva con una distribución desplazada</w:t>
      </w:r>
      <w:r>
        <w:t xml:space="preserve"> </w:t>
      </w:r>
      <w:r>
        <w:t xml:space="preserve">—tipos y tamaños de asteroide</w:t>
      </w:r>
      <w:r>
        <w:t xml:space="preserve"> </w:t>
      </w:r>
      <w:r>
        <w:rPr>
          <w:b/>
          <w:bCs/>
        </w:rPr>
        <w:t xml:space="preserve">no vistos</w:t>
      </w:r>
      <w:r>
        <w:t xml:space="preserve"> </w:t>
      </w:r>
      <w:r>
        <w:t xml:space="preserve">en entrenamiento— para medir generalización</w:t>
      </w:r>
      <w:r>
        <w:t xml:space="preserve"> </w:t>
      </w:r>
      <w:r>
        <w:rPr>
          <w:b/>
          <w:bCs/>
        </w:rPr>
        <w:t xml:space="preserve">fuera de distribución (OOD)</w:t>
      </w:r>
      <w:r>
        <w:t xml:space="preserve">. El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70/15/15 estratificado por dificultad</w:t>
      </w:r>
      <w:r>
        <w:t xml:space="preserve"> </w:t>
      </w:r>
      <w:r>
        <w:t xml:space="preserve">(velocidad de aproximación y nivel de incertidumbre), con semilla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5-fold cross-validation</w:t>
      </w:r>
      <w:r>
        <w:t xml:space="preserve"> </w:t>
      </w:r>
      <w:r>
        <w:t xml:space="preserve">sobre train + val. El conjunto de prueba permanece intocado durante todo el desarrollo.</w:t>
      </w:r>
    </w:p>
    <w:bookmarkEnd w:id="13"/>
    <w:bookmarkStart w:id="14" w:name="procedimiento-experimental"/>
    <w:p>
      <w:pPr>
        <w:pStyle w:val="Heading2"/>
      </w:pPr>
      <w:r>
        <w:t xml:space="preserve">3.4. Procedimiento experimental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Generación</w:t>
      </w:r>
      <w:r>
        <w:t xml:space="preserve"> </w:t>
      </w:r>
      <w:r>
        <w:t xml:space="preserve">de escenarios (muestreo de parámetros + perturbaciones).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Baselines</w:t>
      </w:r>
      <w:r>
        <w:t xml:space="preserve">: balística sin corrección, navegación proporcional (PN), navegación proporcional aumentada (APN) y control óptimo (Lambert + optimización convexa).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Entrenamiento RL</w:t>
      </w:r>
      <w:r>
        <w:t xml:space="preserve">: política recurrente optimizada con PPO [4] y meta-aprendizaje con navegación integrada [5], sobre cinco semillas distintas.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y ajuste de hiperparámetros únicamente sobre</w:t>
      </w:r>
      <w:r>
        <w:t xml:space="preserve"> </w:t>
      </w:r>
      <w:r>
        <w:rPr>
          <w:i/>
          <w:iCs/>
        </w:rPr>
        <w:t xml:space="preserve">val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en el conjunto de prueba intocado; se reporta media ± desviación estándar.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</w:t>
      </w:r>
      <w:r>
        <w:t xml:space="preserve"> </w:t>
      </w:r>
      <w:r>
        <w:t xml:space="preserve">de distancia de fallo,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tasa de éxito y latencia de cómputo.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Pruebas estadísticas</w:t>
      </w:r>
      <w:r>
        <w:t xml:space="preserve">: Wilcoxon pareado (α = 0.05) con corrección de Holm para comparaciones múltiples.</w:t>
      </w:r>
    </w:p>
    <w:p>
      <w:pPr>
        <w:pStyle w:val="FirstParagraph"/>
      </w:pPr>
      <w:r>
        <w:t xml:space="preserve">Entorno: GPU NVIDIA A100, simulador con versión fijada y efemérides DE440; todos los hiperparámetros (tasa de aprendizaje, arquitectura recurrente, pasos por episodio) se documentan para reproducibilidad.</w:t>
      </w:r>
    </w:p>
    <w:bookmarkEnd w:id="14"/>
    <w:bookmarkStart w:id="15" w:name="métricas-y-análisis-estadístico"/>
    <w:p>
      <w:pPr>
        <w:pStyle w:val="Heading2"/>
      </w:pPr>
      <w:r>
        <w:t xml:space="preserve">3.5. Métricas y análisis estadístico</w:t>
      </w:r>
    </w:p>
    <w:p>
      <w:pPr>
        <w:pStyle w:val="FirstParagraph"/>
      </w:pPr>
      <w:r>
        <w:t xml:space="preserve">La métrica principal es la</w:t>
      </w:r>
      <w:r>
        <w:t xml:space="preserve"> </w:t>
      </w:r>
      <w:r>
        <w:rPr>
          <w:b/>
          <w:bCs/>
        </w:rPr>
        <w:t xml:space="preserve">distancia de fallo</w:t>
      </w:r>
      <w:r>
        <w:t xml:space="preserve"> </w:t>
      </w:r>
      <w:r>
        <w:t xml:space="preserve">(m). Como soporte se reportan el</w:t>
      </w:r>
      <w:r>
        <w:t xml:space="preserve"> </w:t>
      </w:r>
      <w:r>
        <w:rPr>
          <w:b/>
          <w:bCs/>
        </w:rPr>
        <w:t xml:space="preserve">coste de maniobra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(eficiencia), la</w:t>
      </w:r>
      <w:r>
        <w:t xml:space="preserve"> </w:t>
      </w:r>
      <w:r>
        <w:rPr>
          <w:b/>
          <w:bCs/>
        </w:rPr>
        <w:t xml:space="preserve">tasa de éxito</w:t>
      </w:r>
      <w:r>
        <w:t xml:space="preserve"> </w:t>
      </w:r>
      <w:r>
        <w:t xml:space="preserve">(% de escenarios con fallo menor al umbral operacional) y la</w:t>
      </w:r>
      <w:r>
        <w:t xml:space="preserve"> </w:t>
      </w:r>
      <w:r>
        <w:rPr>
          <w:b/>
          <w:bCs/>
        </w:rPr>
        <w:t xml:space="preserve">latencia de cómputo</w:t>
      </w:r>
      <w:r>
        <w:t xml:space="preserve"> </w:t>
      </w:r>
      <w:r>
        <w:t xml:space="preserve">(viabilidad de recálculo en tiempo real a bordo). La comparación entre métodos se realiza mediante</w:t>
      </w:r>
      <w:r>
        <w:t xml:space="preserve"> </w:t>
      </w:r>
      <w:r>
        <w:rPr>
          <w:b/>
          <w:bCs/>
        </w:rPr>
        <w:t xml:space="preserve">Wilcoxon signed-rank pareado</w:t>
      </w:r>
      <w:r>
        <w:t xml:space="preserve"> </w:t>
      </w:r>
      <w:r>
        <w:t xml:space="preserve">sobre los escenarios, con</w:t>
      </w:r>
      <w:r>
        <w:t xml:space="preserve"> </w:t>
      </w:r>
      <w:r>
        <w:rPr>
          <w:b/>
          <w:bCs/>
        </w:rPr>
        <w:t xml:space="preserve">corrección de Holm</w:t>
      </w:r>
      <w:r>
        <w:t xml:space="preserve"> </w:t>
      </w:r>
      <w:r>
        <w:t xml:space="preserve">dado que se compara contra cuatro baselines; los intervalos de confianza del 95 % se estiman vía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no paramétrico (</w:t>
      </w:r>
      <w:r>
        <w:rPr>
          <w:i/>
          <w:iCs/>
        </w:rPr>
        <w:t xml:space="preserve">n</w:t>
      </w:r>
      <w:r>
        <w:t xml:space="preserve"> </w:t>
      </w:r>
      <w:r>
        <w:t xml:space="preserve">= 1 000).</w:t>
      </w:r>
      <w:r>
        <w:t xml:space="preserve"> </w:t>
      </w:r>
      <w:r>
        <w:rPr>
          <w:b/>
          <w:bCs/>
        </w:rPr>
        <w:t xml:space="preserve">Suficiencia y potencia muestral:</w:t>
      </w:r>
      <w:r>
        <w:t xml:space="preserve"> </w:t>
      </w:r>
      <w:r>
        <w:t xml:space="preserve">con 10 000 escenarios pareados, el margen del IC 95 % para la distancia de fallo es muy estrecho, de modo que la reducción objetivo de 30 % supera con holgura el mínimo efecto detectable; un análisis de potencia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indica que, para detectar incluso un tamaño de efecto estandarizado pequeño-moderado (</w:t>
      </w:r>
      <w:r>
        <w:rPr>
          <w:i/>
          <w:iCs/>
        </w:rPr>
        <w:t xml:space="preserve">d</w:t>
      </w:r>
      <w:r>
        <w:t xml:space="preserve"> </w:t>
      </w:r>
      <w:r>
        <w:t xml:space="preserve">≈ 0.3) en la prueba pareada, bastarían unos 90 escenarios (α = 0.05, potencia = 0.80); con 10 000 disponibles la potencia efectiva supera 0.99, de modo que el diseño es más que suficiente para validar o refutar H1.</w:t>
      </w:r>
    </w:p>
    <w:bookmarkEnd w:id="15"/>
    <w:bookmarkStart w:id="16" w:name="X6d4a2c98b454360fbc7853fa603269f96bfdf06"/>
    <w:p>
      <w:pPr>
        <w:pStyle w:val="Heading2"/>
      </w:pPr>
      <w:r>
        <w:t xml:space="preserve">3.6. Control de sesgos y amenazas a la validez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Brecha simulación→realidad (</w:t>
      </w:r>
      <w:r>
        <w:rPr>
          <w:b/>
          <w:bCs/>
          <w:i/>
          <w:iCs/>
        </w:rPr>
        <w:t xml:space="preserve">sim2real</w:t>
      </w:r>
      <w:r>
        <w:rPr>
          <w:b/>
          <w:bCs/>
        </w:rPr>
        <w:t xml:space="preserve">)</w:t>
      </w:r>
      <w:r>
        <w:t xml:space="preserve">: principal amenaza a la validez externa; se mitiga con</w:t>
      </w:r>
      <w:r>
        <w:t xml:space="preserve"> </w:t>
      </w:r>
      <w:r>
        <w:rPr>
          <w:i/>
          <w:iCs/>
        </w:rPr>
        <w:t xml:space="preserve">randomización de dominio</w:t>
      </w:r>
      <w:r>
        <w:t xml:space="preserve"> </w:t>
      </w:r>
      <w:r>
        <w:t xml:space="preserve">y modelos de perturbación calibrados contra datos de misiones reales (DART [1]).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Desplazamiento de distribución</w:t>
      </w:r>
      <w:r>
        <w:t xml:space="preserve">: el conjunto de prueba OOD mide explícitamente la generalización a asteroides no vistos, evitando sobreestimar el desempeño.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Sobreajuste 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reward hacking</w:t>
      </w:r>
      <w:r>
        <w:rPr>
          <w:b/>
          <w:bCs/>
        </w:rPr>
        <w:t xml:space="preserve"> </w:t>
      </w:r>
      <w:r>
        <w:rPr>
          <w:b/>
          <w:bCs/>
        </w:rPr>
        <w:t xml:space="preserve">del RL</w:t>
      </w:r>
      <w:r>
        <w:t xml:space="preserve">: función de recompensa auditada, conjunto de prueba intocado y promedio sobre cinco semillas para estimar la varianza.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Representatividad de la población de escenarios</w:t>
      </w:r>
      <w:r>
        <w:t xml:space="preserve">: muestreo anclado al catálogo JPL; si un tipo de objeto domina la muestra, se documenta como límite de validez externa.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Reproducibilidad</w:t>
      </w:r>
      <w:r>
        <w:t xml:space="preserve">: se publican semillas, versión del simulador, efemérides e hiperparámetros, de modo que un tercero pueda replicar el experimento solo con el documento.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sujetos humanos</w:t>
      </w:r>
      <w:r>
        <w:t xml:space="preserve">: el objeto de estudio es una simulación física; no aplican consideraciones éticas de participantes ni sesgo demográfico.</w:t>
      </w:r>
    </w:p>
    <w:bookmarkEnd w:id="16"/>
    <w:bookmarkEnd w:id="17"/>
    <w:bookmarkStart w:id="18" w:name="comparación-con-otras-técnicas"/>
    <w:p>
      <w:pPr>
        <w:pStyle w:val="Heading1"/>
      </w:pPr>
      <w:r>
        <w:t xml:space="preserve">4. Comparación con otras técnicas</w:t>
      </w:r>
    </w:p>
    <w:p>
      <w:pPr>
        <w:pStyle w:val="FirstParagraph"/>
      </w:pPr>
      <w:r>
        <w:t xml:space="preserve">Se evalúa la propuesta frente a cuatro</w:t>
      </w:r>
      <w:r>
        <w:t xml:space="preserve"> </w:t>
      </w:r>
      <w:r>
        <w:rPr>
          <w:i/>
          <w:iCs/>
        </w:rPr>
        <w:t xml:space="preserve">baselines</w:t>
      </w:r>
      <w:r>
        <w:t xml:space="preserve"> </w:t>
      </w:r>
      <w:r>
        <w:t xml:space="preserve">bajo idénticas condiciones de escenario, métricas y presupuesto computacional. Los valores esperados se reportan como rangos plausibles a partir de la literatura citada [2, 3]; el valor final se computará en el experimento. La</w:t>
      </w:r>
      <w:r>
        <w:t xml:space="preserve"> </w:t>
      </w:r>
      <w:r>
        <w:rPr>
          <w:b/>
          <w:bCs/>
        </w:rPr>
        <w:t xml:space="preserve">Tabla 1</w:t>
      </w:r>
      <w:r>
        <w:t xml:space="preserve"> </w:t>
      </w:r>
      <w:r>
        <w:t xml:space="preserve">resume la configuración.</w:t>
      </w:r>
    </w:p>
    <w:p>
      <w:pPr>
        <w:pStyle w:val="BodyText"/>
      </w:pPr>
      <w:r>
        <w:rPr>
          <w:b/>
          <w:bCs/>
        </w:rPr>
        <w:t xml:space="preserve">Tabla 1.</w:t>
      </w:r>
      <w:r>
        <w:t xml:space="preserve"> </w:t>
      </w:r>
      <w:r>
        <w:t xml:space="preserve">Configuración de baselines y desempeño esperado (distancia de fallo relativa; menor es mejor).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18"/>
        <w:gridCol w:w="14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Fallo relativo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Balística sin corrección</w:t>
            </w:r>
          </w:p>
        </w:tc>
        <w:tc>
          <w:tcPr/>
          <w:p>
            <w:pPr>
              <w:pStyle w:val="Compact"/>
            </w:pPr>
            <w:r>
              <w:t xml:space="preserve">Trivial</w:t>
            </w:r>
          </w:p>
        </w:tc>
        <w:tc>
          <w:tcPr/>
          <w:p>
            <w:pPr>
              <w:pStyle w:val="Compact"/>
            </w:pPr>
            <w:r>
              <w:t xml:space="preserve">1.00 (referencia)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proporcional (PN)</w:t>
            </w:r>
          </w:p>
        </w:tc>
        <w:tc>
          <w:tcPr/>
          <w:p>
            <w:pPr>
              <w:pStyle w:val="Compact"/>
            </w:pPr>
            <w:r>
              <w:t xml:space="preserve">Clásico</w:t>
            </w:r>
          </w:p>
        </w:tc>
        <w:tc>
          <w:tcPr/>
          <w:p>
            <w:pPr>
              <w:pStyle w:val="Compact"/>
            </w:pPr>
            <w:r>
              <w:t xml:space="preserve">0.45 –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proporcional aumentada (APN)</w:t>
            </w:r>
          </w:p>
        </w:tc>
        <w:tc>
          <w:tcPr/>
          <w:p>
            <w:pPr>
              <w:pStyle w:val="Compact"/>
            </w:pPr>
            <w:r>
              <w:t xml:space="preserve">Clásico fuerte</w:t>
            </w:r>
          </w:p>
        </w:tc>
        <w:tc>
          <w:tcPr/>
          <w:p>
            <w:pPr>
              <w:pStyle w:val="Compact"/>
            </w:pPr>
            <w:r>
              <w:t xml:space="preserve">0.30 – 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óptimo (Lambert + convexo)</w:t>
            </w:r>
          </w:p>
        </w:tc>
        <w:tc>
          <w:tcPr/>
          <w:p>
            <w:pPr>
              <w:pStyle w:val="Compact"/>
            </w:pPr>
            <w:r>
              <w:t xml:space="preserve">Estado del arte</w:t>
            </w:r>
          </w:p>
        </w:tc>
        <w:tc>
          <w:tcPr/>
          <w:p>
            <w:pPr>
              <w:pStyle w:val="Compact"/>
            </w:pPr>
            <w:r>
              <w:t xml:space="preserve">0.20 – 0.30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Guiado RL meta-aprendido (esta propuesta)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Condiciones de comparación justa</w:t>
      </w:r>
      <w:r>
        <w:t xml:space="preserve">: mismos escenarios de prueba intocados, mismas métricas, mismas cinco semillas, mismo presupuesto de cómputo a bordo y mismo modelo de perturbaciones. Las diferencias se evalúan con la prueba</w:t>
      </w:r>
      <w:r>
        <w:t xml:space="preserve"> </w:t>
      </w:r>
      <w:r>
        <w:rPr>
          <w:b/>
          <w:bCs/>
        </w:rPr>
        <w:t xml:space="preserve">Wilcoxon signed-rank pareada</w:t>
      </w:r>
      <w:r>
        <w:t xml:space="preserve"> </w:t>
      </w:r>
      <w:r>
        <w:t xml:space="preserve">y corrección de Holm. Nótese que el control óptimo clásico, aun siendo preciso, exige un coste computacional que puede ser inviable para el recálculo en tiempo real a bordo —ventaja potencial del enfoque aprendido que también se mide (latencia).</w:t>
      </w:r>
    </w:p>
    <w:bookmarkEnd w:id="18"/>
    <w:bookmarkStart w:id="19" w:name="resultados-esperados-y-discusión"/>
    <w:p>
      <w:pPr>
        <w:pStyle w:val="Heading1"/>
      </w:pPr>
      <w:r>
        <w:t xml:space="preserve">5. Resultados esperados y discusión</w:t>
      </w:r>
    </w:p>
    <w:p>
      <w:pPr>
        <w:pStyle w:val="FirstParagraph"/>
      </w:pPr>
      <w:r>
        <w:t xml:space="preserve">Si la hipótesis se confirma —reducción de la distancia de fallo ≥ 30 % con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0.01 tras corrección de Holm y latencia compatible con operación a bordo—, la implicación es que una política aprendida puede absorber la incertidumbre de masa y las perturbaciones mejor que el guiado clásico, ofreciendo intercepción más robusta sin un solucionador óptimo costoso. La contribución sería un</w:t>
      </w:r>
      <w:r>
        <w:t xml:space="preserve"> </w:t>
      </w:r>
      <w:r>
        <w:rPr>
          <w:b/>
          <w:bCs/>
        </w:rPr>
        <w:t xml:space="preserve">banco de escenarios de intercepción reproducible</w:t>
      </w:r>
      <w:r>
        <w:t xml:space="preserve"> </w:t>
      </w:r>
      <w:r>
        <w:t xml:space="preserve">y una política de guiado de licencia abierta para investigación en defensa planetaria.</w:t>
      </w:r>
    </w:p>
    <w:p>
      <w:pPr>
        <w:pStyle w:val="BodyText"/>
      </w:pPr>
      <w:r>
        <w:t xml:space="preserve">Si la hipótesis se refuta —reducción menor a 30 % 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≥ 0.05—, la implicación práctica es que el guiado clásico APN u óptimo sigue siendo preferible, y que los cuellos de botella del enfoque aprendido son la brecha</w:t>
      </w:r>
      <w:r>
        <w:t xml:space="preserve"> </w:t>
      </w:r>
      <w:r>
        <w:rPr>
          <w:i/>
          <w:iCs/>
        </w:rPr>
        <w:t xml:space="preserve">sim2real</w:t>
      </w:r>
      <w:r>
        <w:t xml:space="preserve"> </w:t>
      </w:r>
      <w:r>
        <w:t xml:space="preserve">y la generalización fuera de distribución, no la capacidad del modelo. En cualquier caso, reportar todas las semillas (incluido el resultado negativo) mantiene el valor informativo del estudio, y el banco de escenarios servirá como base para investigación posterior.</w:t>
      </w:r>
    </w:p>
    <w:bookmarkEnd w:id="19"/>
    <w:bookmarkStart w:id="20" w:name="referencias"/>
    <w:p>
      <w:pPr>
        <w:pStyle w:val="Heading1"/>
      </w:pPr>
      <w:r>
        <w:t xml:space="preserve">6. Referencias</w:t>
      </w:r>
    </w:p>
    <w:p>
      <w:pPr>
        <w:pStyle w:val="FirstParagraph"/>
      </w:pPr>
      <w:r>
        <w:t xml:space="preserve">[1] Cheng, A. F., Agrusa, H. F., Barbee, B. W.,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(2023).</w:t>
      </w:r>
      <w:r>
        <w:t xml:space="preserve"> </w:t>
      </w:r>
      <w:r>
        <w:rPr>
          <w:i/>
          <w:iCs/>
        </w:rPr>
        <w:t xml:space="preserve">Momentum transfer from the DART mission kinetic impact on asteroid Dimorphos</w:t>
      </w:r>
      <w:r>
        <w:t xml:space="preserve">. Nature, 616, 457–460.</w:t>
      </w:r>
    </w:p>
    <w:p>
      <w:pPr>
        <w:pStyle w:val="BodyText"/>
      </w:pPr>
      <w:r>
        <w:t xml:space="preserve">[2] Gaudet, B., Linares, R., &amp; Furfaro, R. (2020).</w:t>
      </w:r>
      <w:r>
        <w:t xml:space="preserve"> </w:t>
      </w:r>
      <w:r>
        <w:rPr>
          <w:i/>
          <w:iCs/>
        </w:rPr>
        <w:t xml:space="preserve">Terminal adaptive guidance via reinforcement meta-learning: Applications to autonomous asteroid close-proximity operations</w:t>
      </w:r>
      <w:r>
        <w:t xml:space="preserve">. Acta Astronautica, 171, 1–13.</w:t>
      </w:r>
    </w:p>
    <w:p>
      <w:pPr>
        <w:pStyle w:val="BodyText"/>
      </w:pPr>
      <w:r>
        <w:t xml:space="preserve">[3] Izzo, D., Märtens, M., &amp; Pan, B. (2019).</w:t>
      </w:r>
      <w:r>
        <w:t xml:space="preserve"> </w:t>
      </w:r>
      <w:r>
        <w:rPr>
          <w:i/>
          <w:iCs/>
        </w:rPr>
        <w:t xml:space="preserve">A survey on artificial intelligence trends in spacecraft guidance dynamics and control</w:t>
      </w:r>
      <w:r>
        <w:t xml:space="preserve">. Astrodynamics, 3(4), 287–299.</w:t>
      </w:r>
    </w:p>
    <w:p>
      <w:pPr>
        <w:pStyle w:val="BodyText"/>
      </w:pPr>
      <w:r>
        <w:t xml:space="preserve">[4] Schulman, J., Wolski, F., Dhariwal, P., Radford, A., &amp; Klimov, O. (2017).</w:t>
      </w:r>
      <w:r>
        <w:t xml:space="preserve"> </w:t>
      </w:r>
      <w:r>
        <w:rPr>
          <w:i/>
          <w:iCs/>
        </w:rPr>
        <w:t xml:space="preserve">Proximal Policy Optimization Algorithms</w:t>
      </w:r>
      <w:r>
        <w:t xml:space="preserve">. arXiv:1707.06347.</w:t>
      </w:r>
    </w:p>
    <w:p>
      <w:pPr>
        <w:pStyle w:val="BodyText"/>
      </w:pPr>
      <w:r>
        <w:t xml:space="preserve">[5] Gaudet, B., Linares, R., &amp; Furfaro, R. (2020).</w:t>
      </w:r>
      <w:r>
        <w:t xml:space="preserve"> </w:t>
      </w:r>
      <w:r>
        <w:rPr>
          <w:i/>
          <w:iCs/>
        </w:rPr>
        <w:t xml:space="preserve">Adaptive guidance and integrated navigation with reinforcement meta-learning</w:t>
      </w:r>
      <w:r>
        <w:t xml:space="preserve">. Acta Astronautica, 169, 180–190.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zh-CN" w:val="e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Corrección autónoma de trayectoria para la intercepción de asteroides peligrosos</dc:title>
  <dc:creator>Adonai Samael Hernández Mata (azulls1) · azull.samael@gmail.com</dc:creator>
  <dc:language>es</dc:language>
  <cp:keywords/>
  <dcterms:created xsi:type="dcterms:W3CDTF">2026-06-10T21:20:43Z</dcterms:created>
  <dcterms:modified xsi:type="dcterms:W3CDTF">2026-06-10T21:20:43Z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Maestría en IA · Investigación en Inteligencia Artificial · Actividad 1 · Junio 2026</vt:lpwstr>
  </property>
  <property fmtid="{D5CDD505-2E9C-101B-9397-08002B2CF9AE}" pid="3" name="documentclass">
    <vt:lpwstr>article</vt:lpwstr>
  </property>
  <property fmtid="{D5CDD505-2E9C-101B-9397-08002B2CF9AE}" pid="4" name="subtitle">
    <vt:lpwstr>Guiado por aprendizaje por refuerzo vs navegación proporcional aumentada — Propuesta de diseño experimental</vt:lpwstr>
  </property>
</Properties>
</file>