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8EBA8" w14:textId="77777777" w:rsidR="00054464" w:rsidRPr="00054464" w:rsidRDefault="00054464" w:rsidP="00054464">
      <w:r w:rsidRPr="00054464">
        <w:drawing>
          <wp:inline distT="0" distB="0" distL="0" distR="0" wp14:anchorId="7E6DDC7B" wp14:editId="57B05531">
            <wp:extent cx="5102860" cy="12096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rotWithShape="1">
                    <a:blip r:embed="rId5"/>
                    <a:srcRect l="1" r="2507"/>
                    <a:stretch/>
                  </pic:blipFill>
                  <pic:spPr bwMode="auto">
                    <a:xfrm>
                      <a:off x="0" y="0"/>
                      <a:ext cx="5102860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569B1" w14:textId="77777777" w:rsidR="00054464" w:rsidRPr="00054464" w:rsidRDefault="00054464" w:rsidP="00054464"/>
    <w:p w14:paraId="14648717" w14:textId="77777777" w:rsidR="00054464" w:rsidRPr="00054464" w:rsidRDefault="00054464" w:rsidP="00054464">
      <w:pPr>
        <w:rPr>
          <w:rFonts w:ascii="Arial" w:hAnsi="Arial" w:cs="Arial"/>
        </w:rPr>
      </w:pPr>
    </w:p>
    <w:p w14:paraId="6F9F4463" w14:textId="6AB43525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Bases de datos - </w:t>
      </w:r>
      <w:r w:rsidRPr="00054464">
        <w:rPr>
          <w:rFonts w:ascii="Arial" w:hAnsi="Arial" w:cs="Arial"/>
          <w:color w:val="000000" w:themeColor="text1"/>
          <w:sz w:val="28"/>
          <w:szCs w:val="28"/>
        </w:rPr>
        <w:t>Segundo</w:t>
      </w: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 w:rsidRPr="00054464">
        <w:rPr>
          <w:rFonts w:ascii="Arial" w:hAnsi="Arial" w:cs="Arial"/>
          <w:color w:val="000000" w:themeColor="text1"/>
          <w:sz w:val="28"/>
          <w:szCs w:val="28"/>
        </w:rPr>
        <w:t>P</w:t>
      </w: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royecto </w:t>
      </w:r>
    </w:p>
    <w:p w14:paraId="4C0F6B4C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06941AA7" w14:textId="1A6A8D26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 </w:t>
      </w:r>
    </w:p>
    <w:p w14:paraId="46524428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7ACF3C8D" w14:textId="76782ACC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Ariel sevilla Matamoros </w:t>
      </w: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- </w:t>
      </w:r>
      <w:r w:rsidRPr="00054464">
        <w:rPr>
          <w:rFonts w:ascii="Arial" w:hAnsi="Arial" w:cs="Arial"/>
          <w:color w:val="000000" w:themeColor="text1"/>
          <w:sz w:val="28"/>
          <w:szCs w:val="28"/>
        </w:rPr>
        <w:t>2025075426</w:t>
      </w:r>
    </w:p>
    <w:p w14:paraId="7B52DCCA" w14:textId="7F7FD05B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Alejandro Zúñiga Martínez - 00000000 </w:t>
      </w:r>
    </w:p>
    <w:p w14:paraId="34ED1D0E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6B5BEF5B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5F7BA96B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07807CAE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  <w:r w:rsidRPr="00054464">
        <w:rPr>
          <w:rFonts w:ascii="Arial" w:hAnsi="Arial" w:cs="Arial"/>
          <w:color w:val="000000" w:themeColor="text1"/>
          <w:sz w:val="28"/>
          <w:szCs w:val="28"/>
        </w:rPr>
        <w:t xml:space="preserve">Jacqueline Solís </w:t>
      </w:r>
      <w:proofErr w:type="spellStart"/>
      <w:r w:rsidRPr="00054464">
        <w:rPr>
          <w:rFonts w:ascii="Arial" w:hAnsi="Arial" w:cs="Arial"/>
          <w:color w:val="000000" w:themeColor="text1"/>
          <w:sz w:val="28"/>
          <w:szCs w:val="28"/>
        </w:rPr>
        <w:t>Céspedes</w:t>
      </w:r>
      <w:proofErr w:type="spellEnd"/>
    </w:p>
    <w:p w14:paraId="673BC379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1BDAA297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7AC6F5DC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3DD2F142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  <w:r w:rsidRPr="00054464">
        <w:rPr>
          <w:rFonts w:ascii="Arial" w:hAnsi="Arial" w:cs="Arial"/>
          <w:color w:val="000000" w:themeColor="text1"/>
          <w:sz w:val="28"/>
          <w:szCs w:val="28"/>
        </w:rPr>
        <w:t>Segundo semestre 2026</w:t>
      </w:r>
    </w:p>
    <w:p w14:paraId="607E4006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666B1838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5D0BD4A4" w14:textId="77777777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</w:p>
    <w:p w14:paraId="358D07B8" w14:textId="5F9D6DC5" w:rsidR="00054464" w:rsidRPr="00054464" w:rsidRDefault="00054464" w:rsidP="00054464">
      <w:pPr>
        <w:jc w:val="center"/>
        <w:rPr>
          <w:rFonts w:ascii="Arial" w:hAnsi="Arial" w:cs="Arial"/>
          <w:color w:val="000000" w:themeColor="text1"/>
          <w:sz w:val="28"/>
          <w:szCs w:val="28"/>
        </w:rPr>
      </w:pPr>
      <w:r w:rsidRPr="00054464">
        <w:rPr>
          <w:rFonts w:ascii="Arial" w:hAnsi="Arial" w:cs="Arial"/>
          <w:color w:val="000000" w:themeColor="text1"/>
          <w:sz w:val="28"/>
          <w:szCs w:val="28"/>
        </w:rPr>
        <w:t>25/10</w:t>
      </w:r>
      <w:r w:rsidRPr="00054464">
        <w:rPr>
          <w:rFonts w:ascii="Arial" w:hAnsi="Arial" w:cs="Arial"/>
          <w:color w:val="000000" w:themeColor="text1"/>
          <w:sz w:val="28"/>
          <w:szCs w:val="28"/>
        </w:rPr>
        <w:t>/2026</w:t>
      </w:r>
    </w:p>
    <w:p w14:paraId="53542932" w14:textId="77777777" w:rsidR="00D97E92" w:rsidRPr="00054464" w:rsidRDefault="00D97E92"/>
    <w:p w14:paraId="0EE92E36" w14:textId="77777777" w:rsidR="00054464" w:rsidRPr="00054464" w:rsidRDefault="00054464"/>
    <w:p w14:paraId="248D8709" w14:textId="76810C8E" w:rsidR="00054464" w:rsidRDefault="00054464" w:rsidP="00054464">
      <w:pPr>
        <w:pStyle w:val="Subttul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054464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 xml:space="preserve">Dictamen </w:t>
      </w:r>
      <w:r w:rsidRPr="00054464">
        <w:rPr>
          <w:rStyle w:val="SubttuloCar"/>
          <w:rFonts w:ascii="Arial" w:hAnsi="Arial" w:cs="Arial"/>
          <w:b/>
          <w:bCs/>
          <w:color w:val="000000" w:themeColor="text1"/>
          <w:sz w:val="24"/>
          <w:szCs w:val="24"/>
        </w:rPr>
        <w:t>técnico</w:t>
      </w:r>
      <w:r w:rsidRPr="0005446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de recha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z</w:t>
      </w:r>
      <w:r w:rsidR="008810E6">
        <w:rPr>
          <w:rFonts w:ascii="Arial" w:hAnsi="Arial" w:cs="Arial"/>
          <w:b/>
          <w:bCs/>
          <w:color w:val="000000" w:themeColor="text1"/>
          <w:sz w:val="24"/>
          <w:szCs w:val="24"/>
        </w:rPr>
        <w:t>o</w:t>
      </w:r>
    </w:p>
    <w:p w14:paraId="5151B9D3" w14:textId="77777777" w:rsidR="008810E6" w:rsidRDefault="008810E6" w:rsidP="008810E6"/>
    <w:p w14:paraId="487ABC18" w14:textId="6B35C4ED" w:rsidR="008810E6" w:rsidRDefault="008810E6" w:rsidP="008810E6">
      <w:r>
        <w:tab/>
        <w:t xml:space="preserve">Tras hacer la evaluación de la infraestructura propuesta por el proveedor saliente contra la carga esperada del estreno mundial, </w:t>
      </w:r>
      <w:proofErr w:type="spellStart"/>
      <w:r>
        <w:t>esta</w:t>
      </w:r>
      <w:proofErr w:type="spellEnd"/>
      <w:r>
        <w:t xml:space="preserve"> siendo de 8 millones de usuarios concurrentes, con un pico de 50.000 TPS durante 10min, involucrando transacciones ACID, tener que cumplir PCI-DSS y con retención de auditoria de 5 años, el equipo la rechaza. Ninguno de los 6 componentes cumple con los requisitos mínimos del negocio y varios violan directamente las reglas de negocio y normas de pago. A continuación las discrepancias.</w:t>
      </w:r>
    </w:p>
    <w:p w14:paraId="65FEC51F" w14:textId="63391B38" w:rsidR="008810E6" w:rsidRPr="008810E6" w:rsidRDefault="008810E6" w:rsidP="008810E6">
      <w:pPr>
        <w:numPr>
          <w:ilvl w:val="0"/>
          <w:numId w:val="2"/>
        </w:numPr>
      </w:pPr>
      <w:r w:rsidRPr="008810E6">
        <w:t>Motor de base de datos</w:t>
      </w:r>
      <w:r>
        <w:t xml:space="preserve">, </w:t>
      </w:r>
      <w:r w:rsidRPr="008810E6">
        <w:t xml:space="preserve">Access y SQLite son motores embebidos pensados para uso personal o de pocos usuarios, sin servidor de base de datos propiamente dicho. SQLite permite un solo escritor a la </w:t>
      </w:r>
      <w:r w:rsidR="00054209" w:rsidRPr="008810E6">
        <w:t>vez,</w:t>
      </w:r>
      <w:r w:rsidR="00054209">
        <w:t xml:space="preserve"> es decir que bloque la base completa al escribir </w:t>
      </w:r>
      <w:r w:rsidRPr="008810E6">
        <w:t>y Access tiene un tope de tamaño de archivo 2 GB</w:t>
      </w:r>
      <w:r w:rsidR="00054209">
        <w:t xml:space="preserve"> </w:t>
      </w:r>
      <w:r w:rsidRPr="008810E6">
        <w:t xml:space="preserve">y de usuarios simultáneos 255 teóricos. Frente a 50,000 TPS con </w:t>
      </w:r>
      <w:r w:rsidR="00054209">
        <w:t>bloques y compra de asientos</w:t>
      </w:r>
      <w:r w:rsidRPr="008810E6">
        <w:t xml:space="preserve">, el sistema se serializaría y colapsaría en segundos. </w:t>
      </w:r>
      <w:r w:rsidR="00054209" w:rsidRPr="008810E6">
        <w:t>Además,</w:t>
      </w:r>
      <w:r w:rsidRPr="008810E6">
        <w:t xml:space="preserve"> es un único punto de falla: sin réplica, sin alta disponibilidad, sin roles reales (RN-17) y sin capacidad de almacenar varios TB de logs por 5 años (RN-20).</w:t>
      </w:r>
    </w:p>
    <w:p w14:paraId="79DD1E1C" w14:textId="77777777" w:rsidR="008810E6" w:rsidRPr="008810E6" w:rsidRDefault="008810E6" w:rsidP="008810E6">
      <w:pPr>
        <w:numPr>
          <w:ilvl w:val="0"/>
          <w:numId w:val="2"/>
        </w:numPr>
      </w:pPr>
      <w:r w:rsidRPr="008810E6">
        <w:t xml:space="preserve">Infraestructura y red (fibra residencial de 50 Mbps, </w:t>
      </w:r>
      <w:proofErr w:type="spellStart"/>
      <w:r w:rsidRPr="008810E6">
        <w:t>Wi</w:t>
      </w:r>
      <w:proofErr w:type="spellEnd"/>
      <w:r w:rsidRPr="008810E6">
        <w:t>-Fi 2.4 GHz y extensor barato)</w:t>
      </w:r>
      <w:r w:rsidRPr="008810E6">
        <w:br/>
        <w:t xml:space="preserve">50 Mbps equivalen a 6.25 MB/s. Repartidos entre 8 millones de usuarios concurrentes, tocan unos 6 bits por segundo por usuario. Aun suponiendo solo 2 KB por solicitud, 50,000 TPS exigirían unos 100 MB/s (800 Mbps), 16 veces la capacidad del enlace, y eso sin contar el </w:t>
      </w:r>
      <w:proofErr w:type="spellStart"/>
      <w:r w:rsidRPr="008810E6">
        <w:t>Wi</w:t>
      </w:r>
      <w:proofErr w:type="spellEnd"/>
      <w:r w:rsidRPr="008810E6">
        <w:t xml:space="preserve">-Fi compartido. Un enlace residencial no tiene SLA, ni redundancia, ni protección contra ataques </w:t>
      </w:r>
      <w:proofErr w:type="spellStart"/>
      <w:r w:rsidRPr="008810E6">
        <w:t>DDoS</w:t>
      </w:r>
      <w:proofErr w:type="spellEnd"/>
      <w:r w:rsidRPr="008810E6">
        <w:t>, ni latencia razonable para cines en otros continentes.</w:t>
      </w:r>
    </w:p>
    <w:p w14:paraId="32D90EEF" w14:textId="77777777" w:rsidR="008810E6" w:rsidRPr="008810E6" w:rsidRDefault="008810E6" w:rsidP="008810E6">
      <w:pPr>
        <w:numPr>
          <w:ilvl w:val="0"/>
          <w:numId w:val="2"/>
        </w:numPr>
      </w:pPr>
      <w:r w:rsidRPr="008810E6">
        <w:t>Control de asientos en una hoja de cálculo compartida de Google Drive</w:t>
      </w:r>
      <w:r w:rsidRPr="008810E6">
        <w:br/>
        <w:t>Una hoja de cálculo no es un sistema transaccional: no tiene ACID, ni restricciones de unicidad, ni bloqueos con expiración. Si dos clientes escriben su nombre en el mismo asiento, gana el último en guardar: la doble venta está garantizada. Tampoco puede implementar el bloqueo temporal de 2 minutos (RN-05), la unicidad del boleto (RN-12) ni el mapa en tiempo real (RN-03), y el nombre escrito a mano no identifica a nadie. Google además limita el tamaño de una hoja (10 millones de celdas) y las solicitudes por minuto de su API, muy por debajo de la carga requerida.</w:t>
      </w:r>
    </w:p>
    <w:p w14:paraId="4C1EBCEB" w14:textId="77777777" w:rsidR="008810E6" w:rsidRPr="008810E6" w:rsidRDefault="008810E6" w:rsidP="008810E6">
      <w:pPr>
        <w:numPr>
          <w:ilvl w:val="0"/>
          <w:numId w:val="2"/>
        </w:numPr>
      </w:pPr>
      <w:r w:rsidRPr="008810E6">
        <w:t>Seguridad y pagos (formulario estático, tarjetas y CVV por WhatsApp, datáfono manual)</w:t>
      </w:r>
      <w:r w:rsidRPr="008810E6">
        <w:br/>
        <w:t>Es la falla más grave. PCI-DSS prohíbe almacenar el código de seguridad (CVV) después de la autorización y exige proteger el número de tarjeta en tránsito y en reposo; enviarlos en claro a un chat grupal los expone a cualquiera con acceso al grupo. Incumple la RN-09 (pasarela certificada, sin CVV en la BD propia), y el cobro manual por un pasante rompe la atomicidad entre pago y asiento (RN-10 y RN-11). La exposición es legal (multas, demandas, pérdida de la capacidad de aceptar tarjetas) y reputacional.</w:t>
      </w:r>
    </w:p>
    <w:p w14:paraId="524251E5" w14:textId="77777777" w:rsidR="008810E6" w:rsidRPr="008810E6" w:rsidRDefault="008810E6" w:rsidP="008810E6">
      <w:pPr>
        <w:numPr>
          <w:ilvl w:val="0"/>
          <w:numId w:val="2"/>
        </w:numPr>
      </w:pPr>
      <w:r w:rsidRPr="008810E6">
        <w:lastRenderedPageBreak/>
        <w:t>Plan de respaldo (“reiniciar y cruzar los dedos”)</w:t>
      </w:r>
      <w:r w:rsidRPr="008810E6">
        <w:br/>
        <w:t xml:space="preserve">No existe plan. Sin </w:t>
      </w:r>
      <w:proofErr w:type="spellStart"/>
      <w:r w:rsidRPr="008810E6">
        <w:t>backups</w:t>
      </w:r>
      <w:proofErr w:type="spellEnd"/>
      <w:r w:rsidRPr="008810E6">
        <w:t xml:space="preserve"> ni réplica, el RPO es toda la información desde la última copia (que no existe) y el RTO es indefinido. Esto contradice el objetivo de disponibilidad (99.99%, unos 52 minutos de caída al año como máximo), y pone en riesgo la retención fiscal de 5 años (RN-20).</w:t>
      </w:r>
    </w:p>
    <w:p w14:paraId="554CA5D1" w14:textId="77777777" w:rsidR="008810E6" w:rsidRPr="008810E6" w:rsidRDefault="008810E6" w:rsidP="008810E6">
      <w:pPr>
        <w:numPr>
          <w:ilvl w:val="0"/>
          <w:numId w:val="2"/>
        </w:numPr>
      </w:pPr>
      <w:r w:rsidRPr="008810E6">
        <w:t>Dimensionamiento</w:t>
      </w:r>
      <w:r w:rsidRPr="008810E6">
        <w:br/>
        <w:t>La propuesta no calcula carga, almacenamiento ni crecimiento. No hay estimación de TPS, ni de volumen de logs de transacciones, bloqueos y accesos, ni presupuesto para retener 5 años de auditoría. Un proyecto de este tamaño no puede aprobarse sin números.</w:t>
      </w:r>
    </w:p>
    <w:p w14:paraId="4A9A0F60" w14:textId="77777777" w:rsidR="008810E6" w:rsidRDefault="008810E6" w:rsidP="008810E6"/>
    <w:p w14:paraId="33DE6760" w14:textId="77777777" w:rsidR="008810E6" w:rsidRPr="008810E6" w:rsidRDefault="008810E6" w:rsidP="008810E6"/>
    <w:p w14:paraId="09D36C92" w14:textId="77777777" w:rsidR="00054464" w:rsidRDefault="00054464" w:rsidP="00054464"/>
    <w:p w14:paraId="7D77C630" w14:textId="77777777" w:rsidR="00054464" w:rsidRPr="00054464" w:rsidRDefault="00054464" w:rsidP="00054464"/>
    <w:p w14:paraId="1035FB73" w14:textId="77777777" w:rsidR="00054464" w:rsidRPr="00054464" w:rsidRDefault="00054464"/>
    <w:p w14:paraId="42B3B7AB" w14:textId="77777777" w:rsidR="00054464" w:rsidRPr="00054464" w:rsidRDefault="00054464"/>
    <w:p w14:paraId="4693704E" w14:textId="7C89DE81" w:rsidR="00054464" w:rsidRPr="008810E6" w:rsidRDefault="00054464"/>
    <w:sectPr w:rsidR="00054464" w:rsidRPr="008810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72B61"/>
    <w:multiLevelType w:val="multilevel"/>
    <w:tmpl w:val="D0EC7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0135A4"/>
    <w:multiLevelType w:val="multilevel"/>
    <w:tmpl w:val="2B68B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9344310">
    <w:abstractNumId w:val="1"/>
  </w:num>
  <w:num w:numId="2" w16cid:durableId="50169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2D7"/>
    <w:rsid w:val="00014B0B"/>
    <w:rsid w:val="00054209"/>
    <w:rsid w:val="00054464"/>
    <w:rsid w:val="003D72D7"/>
    <w:rsid w:val="006B585A"/>
    <w:rsid w:val="008810E6"/>
    <w:rsid w:val="008E31EE"/>
    <w:rsid w:val="00D97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BCD11"/>
  <w15:chartTrackingRefBased/>
  <w15:docId w15:val="{3EB89CC6-D1C9-463A-8193-D8C18B1F9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464"/>
  </w:style>
  <w:style w:type="paragraph" w:styleId="Ttulo1">
    <w:name w:val="heading 1"/>
    <w:basedOn w:val="Normal"/>
    <w:next w:val="Normal"/>
    <w:link w:val="Ttulo1Car"/>
    <w:uiPriority w:val="9"/>
    <w:qFormat/>
    <w:rsid w:val="003D72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2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2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2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2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2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2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2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2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2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2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2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2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2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2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2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2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2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2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2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2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2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2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2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2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2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2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2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2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572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ERNESTO SEVILLA MATAMOROS</dc:creator>
  <cp:keywords/>
  <dc:description/>
  <cp:lastModifiedBy>ARIEL ERNESTO SEVILLA MATAMOROS</cp:lastModifiedBy>
  <cp:revision>2</cp:revision>
  <dcterms:created xsi:type="dcterms:W3CDTF">2026-10-21T01:05:00Z</dcterms:created>
  <dcterms:modified xsi:type="dcterms:W3CDTF">2026-10-21T01:32:00Z</dcterms:modified>
</cp:coreProperties>
</file>