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jpeg" ContentType="image/jpeg"/>
  <Override PartName="/word/media/image4.jpeg" ContentType="image/jpe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480" w:after="480"/>
        <w:ind w:left="0"/>
        <w:rPr>
          <w:rFonts w:eastAsia="等线"/>
          <w:lang w:eastAsia="zh-CN"/>
        </w:rPr>
      </w:pPr>
      <w:bookmarkStart w:id="0" w:name="_GoBack"/>
      <w:bookmarkEnd w:id="0"/>
      <w:r>
        <w:rPr>
          <w:rFonts w:eastAsia="微软雅黑" w:cs="Arial" w:ascii="Times New Roman" w:hAnsi="Times New Roman"/>
          <w:b/>
          <w:sz w:val="52"/>
          <w:szCs w:val="22"/>
          <w:lang w:eastAsia="zh-CN"/>
        </w:rPr>
        <w:t>Guia de Desenvolvimento do T800 (Versão de Desenvolvimento)</w:t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 série Zhongqing T800 é um robô humanoide de alto desempenho destinado ao uso industrial e comercial, projetado especificamente para operações práticas, implantação em ambientes complexos e desenvolvimento adicional. Como plataforma operacional humanoide com elevada capacidade de movimento dinâmico e trabalho sob alta carga, o T800 consegue executar com estabilidade tarefas como transporte de cargas pesadas, corrida rápida e operações precisas. Oferece diversas configurações, desde a versão básica até a versão MAX, suporta uma mão ágil e um ambiente completo para desenvolvimento adicional, fornecendo uma base sólida de hardware e software tanto para usuários do setor quanto para instituições de pesquisa.</w:t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 T800 é composto por uma parte superior e uma inferior, oferecendo múltiplos graus de liberdade. Um braço individual possui cinco graus de liberdade (versão básica); as versões PRO e MAX adicionam ainda um grau de liberdade no pulso. Uma perna possui seis graus de liberdade (3 na articulação do quadril, 1 na do joelho e 2 na do tornozelo). A região lombar tem um grau de liberdade e a cabeça possui dois. Dependendo da versão, a versão básica oferece 25 graus totais de liberdade, a versão PRO alcança 29, enquanto a versão MAX, com a mão ágil, pode atingir até 43 graus totais. Graças a motores articulares de alto desempenho (planetares ou harmônicos) com torque articular de até 450 N·m, o robô consegue realizar caminhadas dinâmicas estáveis e operações sob elevadas cargas.</w:t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As versões atualmente disponíveis do T800, bem como seus modelos completos e as configurações básicas correspondentes, são os seguintes:</w:t>
      </w:r>
    </w:p>
    <w:p>
      <w:pPr>
        <w:pStyle w:val="Normal"/>
        <w:spacing w:lineRule="auto" w:line="288" w:before="120" w:after="120"/>
        <w:ind w:left="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1" w:name="heading_0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Especificações do robô</w:t>
      </w:r>
      <w:bookmarkEnd w:id="1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3480"/>
        <w:gridCol w:w="4799"/>
      </w:tblGrid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Modelo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Versão de desenvolvimento do T800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Dimensões do produto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173cm(H)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Peso sob carga elétrica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Cerca de 84,5 kg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Comprimento da parte inferior do corpo e das coxas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91cm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Comprimento do antebraço + braço superior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60cm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Grandeza total de liberdade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Grade de liberdade da pescoça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Grade de liberdade de braço único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Grade de liberdade da região lombar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Grade de liberdade de perna única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Trajetória de percurso oco em toda a articulação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É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de deslocamento (para a frente)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0~1.5m/s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de deslocamento (recuo)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0~0.8 m/s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de deslocamento (desvio lateral)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0~0.5m/s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de deslocamento (viragem para a esquerda ou para a direita)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0~20°/s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de corrida (suportada pelo hardware)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&lt;3m/s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máxima de deslocamento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20° (pendência lateral + pendência longitudinal)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Altura máxima que pode ser ultrapassada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20cm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Torque máximo pico na articulação da perna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450 N*m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Codificador de articulações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Dual encoder de código absoluto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Tipos de articulações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Planeta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Ruído (ao caminhar, a uma distância de 1 metro)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≤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55 dB</w:t>
            </w: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（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TBD</w:t>
            </w: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）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Ruído (corrida, a 1 metro de distância)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≤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60 dB</w:t>
            </w: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（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TBD</w:t>
            </w: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）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Nível de proteção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IPX4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Temperatura de operação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-10℃ ~ 40℃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Umidade de trabalho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 a 90% (sem condensação)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Altura de resistência à queda (em estado desligado)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Estado de ativação após desligamento: &gt;1 m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MTBF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&gt;1000hr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MTTR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&lt;30mins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Vida útil total do equipamento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&gt;5 anos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Sensor de percepção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Sistema de visão binocular e lidar desenvolvido internamente (para cabeça e pescoço)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Potência computacional básica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Intel Atom x7425E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Módulo de alta capacidade computacional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AGX ORIN 64G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Memória em execução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64G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Espaço no disco rígido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256G SSD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Desenvolvimento secundário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Tipos de baterias inteligentes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shd w:fill="FFF67A" w:val="clear"/>
                <w:lang w:eastAsia="zh-CN"/>
              </w:rPr>
              <w:t>Bateria de íons de lítio ternária (1,22 kWh)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Durabilidade da bateria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 horas (padrão)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Potência de carregamento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Bateria de íons de lítio ternária: 71,4 V * 10 A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Tempo de carregamento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Bateria de íons de lítio ternária com autonomia de 2,5 horas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Configuração da iluminação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 faróis dianteiros + 2 faróis laterais + faróis de joelho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Controle remoto portátil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Ecrã tátil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</w:t>
            </w:r>
          </w:p>
        </w:tc>
      </w:tr>
      <w:tr>
        <w:trPr/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Mão hábil</w:t>
            </w:r>
          </w:p>
        </w:tc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Não é suportado.</w:t>
            </w:r>
          </w:p>
        </w:tc>
      </w:tr>
    </w:tbl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ascii="Arial" w:hAnsi="Arial" w:eastAsia="等线" w:cs="Arial"/>
          <w:b/>
          <w:sz w:val="32"/>
          <w:lang w:eastAsia="zh-CN"/>
        </w:rPr>
      </w:pPr>
      <w:bookmarkStart w:id="2" w:name="heading_1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Interfaz Elétrica</w:t>
      </w:r>
      <w:bookmarkEnd w:id="2"/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ascii="Arial" w:hAnsi="Arial" w:eastAsia="等线" w:cs="Arial"/>
          <w:b/>
          <w:sz w:val="32"/>
          <w:lang w:eastAsia="zh-CN"/>
        </w:rPr>
      </w:pPr>
      <w:r>
        <w:rPr>
          <w:rFonts w:eastAsia="等线" w:cs="Arial" w:ascii="Arial" w:hAnsi="Arial"/>
          <w:b/>
          <w:sz w:val="32"/>
          <w:lang w:eastAsia="zh-CN"/>
        </w:rPr>
      </w:r>
    </w:p>
    <w:p>
      <w:pPr>
        <w:pStyle w:val="Normal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257800" cy="1552575"/>
            <wp:effectExtent l="0" t="0" r="0" b="0"/>
            <wp:docPr id="1" name="Drawing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688"/>
        <w:gridCol w:w="1126"/>
        <w:gridCol w:w="2985"/>
        <w:gridCol w:w="3480"/>
      </w:tblGrid>
      <w:tr>
        <w:trPr/>
        <w:tc>
          <w:tcPr>
            <w:tcW w:w="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Número</w:t>
            </w:r>
          </w:p>
        </w:tc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Tipo de interface</w:t>
            </w:r>
          </w:p>
        </w:tc>
        <w:tc>
          <w:tcPr>
            <w:tcW w:w="2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Abreviação do interface</w:t>
            </w:r>
          </w:p>
        </w:tc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Instruções sobre a interface</w:t>
            </w:r>
          </w:p>
        </w:tc>
      </w:tr>
      <w:tr>
        <w:trPr/>
        <w:tc>
          <w:tcPr>
            <w:tcW w:w="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USB A</w:t>
            </w:r>
          </w:p>
        </w:tc>
        <w:tc>
          <w:tcPr>
            <w:tcW w:w="2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USB A 3.0 (conexão interna AGX ORIN)</w:t>
            </w:r>
          </w:p>
        </w:tc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Conectar a saída de alimentação de 5 V/1 A do módulo de alta capacidade computacional ORIN</w:t>
            </w:r>
          </w:p>
        </w:tc>
      </w:tr>
      <w:tr>
        <w:trPr/>
        <w:tc>
          <w:tcPr>
            <w:tcW w:w="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USB A</w:t>
            </w:r>
          </w:p>
        </w:tc>
        <w:tc>
          <w:tcPr>
            <w:tcW w:w="2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USB A 3.0 (conexão interna do NeZha N97)</w:t>
            </w:r>
          </w:p>
        </w:tc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Conexão ao módulo de capacidade computacional básica X86 com saída de alimentação de 5 V/1 A</w:t>
            </w:r>
          </w:p>
        </w:tc>
      </w:tr>
      <w:tr>
        <w:trPr/>
        <w:tc>
          <w:tcPr>
            <w:tcW w:w="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Ethernet</w:t>
            </w:r>
          </w:p>
        </w:tc>
        <w:tc>
          <w:tcPr>
            <w:tcW w:w="2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RJ45</w:t>
            </w:r>
          </w:p>
        </w:tc>
        <w:tc>
          <w:tcPr>
            <w:tcW w:w="34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Interface de Ethernet Gigabit</w:t>
            </w:r>
          </w:p>
        </w:tc>
      </w:tr>
    </w:tbl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b/>
          <w:sz w:val="22"/>
          <w:szCs w:val="22"/>
          <w:lang w:eastAsia="zh-CN"/>
        </w:rPr>
        <w:t>Nota adicional:</w:t>
      </w:r>
    </w:p>
    <w:p>
      <w:pPr>
        <w:pStyle w:val="Normal"/>
        <w:numPr>
          <w:ilvl w:val="0"/>
          <w:numId w:val="1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interface de alimentação externa: não suportada</w:t>
      </w:r>
    </w:p>
    <w:p>
      <w:pPr>
        <w:pStyle w:val="Normal"/>
        <w:numPr>
          <w:ilvl w:val="0"/>
          <w:numId w:val="2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Porta de carregamento na estrutura do dispositivo: não suportada (a bateria deve ser carregada separadamente).</w:t>
      </w:r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3" w:name="heading_2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Computador a bordo</w:t>
      </w:r>
      <w:bookmarkEnd w:id="3"/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 série T800 inclui, como configuração padrão em todas as versões a partir da versão de desenvolvimento e superiores, o módulo de alta capacidade computacional (PC de IA).</w:t>
      </w:r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310"/>
        <w:gridCol w:w="2653"/>
        <w:gridCol w:w="3317"/>
      </w:tblGrid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Nezha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AGX ORIN 64G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CPU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Arial" w:hAnsi="Arial" w:eastAsia="等线" w:cs="Arial"/>
                <w:sz w:val="22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Intel® N97</w:t>
            </w:r>
          </w:p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（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Alder Lake-N</w:t>
            </w:r>
            <w:r>
              <w:rPr>
                <w:rFonts w:ascii="Times New Roman" w:hAnsi="Times New Roman" w:cs="Arial" w:eastAsia="微软雅黑"/>
                <w:kern w:val="0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Arquitetura de 12 núcleos Arm Cortex-A78AE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Número de núcleos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Número de threads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Frequência máxima de turbo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3.6GHz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2.2 GHz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Memória de vídeo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\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64 GB de LPDDR5 (compartilhado com a memória)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Memória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1LPDDR5 8GB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64 GB de LPDDR5 (integrado)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Armazenamento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eMMC 64GB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256G SSD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Unidade de Processamento de Imagens Intel®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Sem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Sem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GPU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Intel® UHD Graphics Gen12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2048 ampères nucleares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Frequência dinâmica máxima da placa gráfica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\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1.3 GHz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Gauss e o acelerador neural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Intel® UHD Graphics</w:t>
            </w:r>
          </w:p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 ao raciocínio baseado em IA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Há (275 TOPS)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Conjunto de instruções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x86-64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ARMv8.2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OpenGL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 (4.6)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OpenCL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 (3.0)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DirectX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Não é suportado.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Endereço IP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192.168.0.163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192.168.0.162</w:t>
            </w:r>
          </w:p>
        </w:tc>
      </w:tr>
      <w:tr>
        <w:trPr/>
        <w:tc>
          <w:tcPr>
            <w:tcW w:w="23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Operar o sistema operacional</w:t>
            </w:r>
          </w:p>
        </w:tc>
        <w:tc>
          <w:tcPr>
            <w:tcW w:w="265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Ubuntu</w:t>
            </w:r>
          </w:p>
        </w:tc>
        <w:tc>
          <w:tcPr>
            <w:tcW w:w="33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Ubuntu</w:t>
            </w:r>
          </w:p>
        </w:tc>
      </w:tr>
    </w:tbl>
    <w:p>
      <w:pPr>
        <w:pStyle w:val="Normal"/>
        <w:numPr>
          <w:ilvl w:val="0"/>
          <w:numId w:val="3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Os nomes de usuário e senhas iniciais, bem como os endereços IP dos módulos de capacidade computacional básica e das unidades de alta capacidade computacional, estão listados na figura abaixo.</w:t>
      </w:r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708"/>
        <w:gridCol w:w="2056"/>
        <w:gridCol w:w="2282"/>
        <w:gridCol w:w="2233"/>
      </w:tblGrid>
      <w:tr>
        <w:trPr/>
        <w:tc>
          <w:tcPr>
            <w:tcW w:w="17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Device</w:t>
            </w:r>
          </w:p>
        </w:tc>
        <w:tc>
          <w:tcPr>
            <w:tcW w:w="2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IP</w:t>
            </w:r>
          </w:p>
        </w:tc>
        <w:tc>
          <w:tcPr>
            <w:tcW w:w="22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SSH Username</w:t>
            </w:r>
          </w:p>
        </w:tc>
        <w:tc>
          <w:tcPr>
            <w:tcW w:w="22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SSH Password</w:t>
            </w:r>
          </w:p>
        </w:tc>
      </w:tr>
      <w:tr>
        <w:trPr/>
        <w:tc>
          <w:tcPr>
            <w:tcW w:w="17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Nezha</w:t>
            </w:r>
          </w:p>
        </w:tc>
        <w:tc>
          <w:tcPr>
            <w:tcW w:w="2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192.168.0.163</w:t>
            </w:r>
          </w:p>
        </w:tc>
        <w:tc>
          <w:tcPr>
            <w:tcW w:w="22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user</w:t>
            </w:r>
          </w:p>
        </w:tc>
        <w:tc>
          <w:tcPr>
            <w:tcW w:w="22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</w:tr>
      <w:tr>
        <w:trPr/>
        <w:tc>
          <w:tcPr>
            <w:tcW w:w="17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Jetson Orin</w:t>
            </w:r>
          </w:p>
        </w:tc>
        <w:tc>
          <w:tcPr>
            <w:tcW w:w="2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192.168.0.162</w:t>
            </w:r>
          </w:p>
        </w:tc>
        <w:tc>
          <w:tcPr>
            <w:tcW w:w="22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ubuntu</w:t>
            </w:r>
          </w:p>
        </w:tc>
        <w:tc>
          <w:tcPr>
            <w:tcW w:w="22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ubuntu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4" w:name="heading_3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Diagrama da arquitetura de rede</w:t>
      </w:r>
      <w:bookmarkEnd w:id="4"/>
    </w:p>
    <w:p>
      <w:pPr>
        <w:pStyle w:val="Normal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257800" cy="3609975"/>
            <wp:effectExtent l="0" t="0" r="0" b="0"/>
            <wp:docPr id="2" name="Drawing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5" w:name="heading_4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Configuração do sensor T800</w:t>
      </w:r>
      <w:bookmarkEnd w:id="5"/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6" w:name="heading_5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Lista de Configuração</w:t>
      </w:r>
      <w:bookmarkEnd w:id="6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348"/>
        <w:gridCol w:w="1457"/>
        <w:gridCol w:w="1258"/>
        <w:gridCol w:w="1396"/>
        <w:gridCol w:w="2821"/>
      </w:tblGrid>
      <w:tr>
        <w:trPr/>
        <w:tc>
          <w:tcPr>
            <w:tcW w:w="13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Classificação de sensores</w:t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Tipo de sensor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Localização/Quantidade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Quantidade: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Funções principais suportadas</w:t>
            </w:r>
          </w:p>
        </w:tc>
      </w:tr>
      <w:tr>
        <w:trPr/>
        <w:tc>
          <w:tcPr>
            <w:tcW w:w="1348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Base</w:t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Percepção visual RGB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Cabeça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 (binaural)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Reconhecimento facial, reconhecimento de gestos, chamadas de vídeo e coleta de memórias</w:t>
            </w:r>
          </w:p>
        </w:tc>
      </w:tr>
      <w:tr>
        <w:trPr/>
        <w:tc>
          <w:tcPr>
            <w:tcW w:w="1348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Percepção de profundidade visual RGBD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Cabeça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Modelagem 3D, detecção de obstáculos, navegação, reconhecimento de objetos e seguimento</w:t>
            </w:r>
          </w:p>
        </w:tc>
      </w:tr>
      <w:tr>
        <w:trPr/>
        <w:tc>
          <w:tcPr>
            <w:tcW w:w="1348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Lidar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Cabeça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Mapeamento SLAM, localização em tempo real e planejamento global de rotas</w:t>
            </w:r>
          </w:p>
        </w:tc>
      </w:tr>
      <w:tr>
        <w:trPr/>
        <w:tc>
          <w:tcPr>
            <w:tcW w:w="1348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IMU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Centro do tronco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Percepção da postura, controle do equilíbrio e planejamento da marcha</w:t>
            </w:r>
          </w:p>
        </w:tc>
      </w:tr>
      <w:tr>
        <w:trPr/>
        <w:tc>
          <w:tcPr>
            <w:tcW w:w="1348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Sensores de torque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Principais articulações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Controle de flexibilidade, detecção de colisões,</w:t>
            </w:r>
          </w:p>
        </w:tc>
      </w:tr>
      <w:tr>
        <w:trPr/>
        <w:tc>
          <w:tcPr>
            <w:tcW w:w="1348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Interação Segura</w:t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Matriz de microfones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Cabeça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Huanmai 4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Interação por voz, ativação e detecção de eventos sonoros</w:t>
            </w:r>
          </w:p>
        </w:tc>
      </w:tr>
      <w:tr>
        <w:trPr/>
        <w:tc>
          <w:tcPr>
            <w:tcW w:w="1348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45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Alto-falante de alta fidelidade</w:t>
            </w:r>
          </w:p>
        </w:tc>
        <w:tc>
          <w:tcPr>
            <w:tcW w:w="12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Tronco</w:t>
            </w:r>
          </w:p>
        </w:tc>
        <w:tc>
          <w:tcPr>
            <w:tcW w:w="13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282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Feedback de voz, reprodução de música e chamadas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7" w:name="heading_6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Instalação do sensor T800</w:t>
      </w:r>
      <w:bookmarkEnd w:id="7"/>
    </w:p>
    <w:p>
      <w:pPr>
        <w:pStyle w:val="Normal"/>
        <w:numPr>
          <w:ilvl w:val="0"/>
          <w:numId w:val="0"/>
        </w:numPr>
        <w:spacing w:lineRule="auto" w:line="288" w:before="260" w:after="120"/>
        <w:ind w:hanging="0" w:left="0"/>
        <w:jc w:val="left"/>
        <w:outlineLvl w:val="3"/>
        <w:rPr>
          <w:rFonts w:eastAsia="等线"/>
          <w:lang w:eastAsia="zh-CN"/>
        </w:rPr>
      </w:pPr>
      <w:bookmarkStart w:id="8" w:name="heading_7"/>
      <w:r>
        <w:rPr>
          <w:rFonts w:eastAsia="微软雅黑" w:cs="Arial" w:ascii="Times New Roman" w:hAnsi="Times New Roman"/>
          <w:b/>
          <w:sz w:val="28"/>
          <w:szCs w:val="22"/>
          <w:lang w:eastAsia="zh-CN"/>
        </w:rPr>
        <w:t>Instalação e configuração da câmera de profundidade</w:t>
      </w:r>
      <w:bookmarkEnd w:id="8"/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 robô possui na cabeça uma câmera Odin2, que lhe confere uma excelente capacidade de percepção visual, permitindo uma detecção e compreensão mais precisas do ambiente circundante, bem como uma percepção espacial exata e a identificação de obstáculos. Isso permite que o robô interaja com o ambiente de forma mais inteligente e flexível e se adapte a diversas situações.</w:t>
      </w:r>
    </w:p>
    <w:p>
      <w:pPr>
        <w:pStyle w:val="Normal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257800" cy="5762625"/>
            <wp:effectExtent l="0" t="0" r="0" b="0"/>
            <wp:docPr id="3" name="Drawing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88" w:before="260" w:after="120"/>
        <w:ind w:hanging="0" w:left="0"/>
        <w:jc w:val="left"/>
        <w:outlineLvl w:val="3"/>
        <w:rPr>
          <w:rFonts w:eastAsia="等线"/>
          <w:lang w:eastAsia="zh-CN"/>
        </w:rPr>
      </w:pPr>
      <w:bookmarkStart w:id="9" w:name="heading_8"/>
      <w:r>
        <w:rPr>
          <w:rFonts w:eastAsia="微软雅黑" w:cs="Arial" w:ascii="Times New Roman" w:hAnsi="Times New Roman"/>
          <w:b/>
          <w:sz w:val="28"/>
          <w:szCs w:val="22"/>
          <w:lang w:eastAsia="zh-CN"/>
        </w:rPr>
        <w:t>Parâmetros do módulo IMU</w:t>
      </w:r>
      <w:bookmarkEnd w:id="9"/>
    </w:p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0" w:name="heading_9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Parâmetro do ângulo de orientação</w:t>
      </w:r>
      <w:bookmarkEnd w:id="10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574"/>
        <w:gridCol w:w="691"/>
        <w:gridCol w:w="899"/>
        <w:gridCol w:w="5115"/>
      </w:tblGrid>
      <w:tr>
        <w:trPr/>
        <w:tc>
          <w:tcPr>
            <w:tcW w:w="15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Subitem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1574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Angulo de rolamento horizontal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Precisão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0.05°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RMS, medida a 25 °C, em condições estáticas e sem aceleração prolongada</w:t>
            </w:r>
          </w:p>
        </w:tc>
      </w:tr>
      <w:tr>
        <w:trPr/>
        <w:tc>
          <w:tcPr>
            <w:tcW w:w="1574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±180°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574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Angulo de inclinação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Precisão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0.05°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RMS, medida a 25 °C, em condições estáticas e sem aceleração prolongada</w:t>
            </w:r>
          </w:p>
        </w:tc>
      </w:tr>
      <w:tr>
        <w:trPr/>
        <w:tc>
          <w:tcPr>
            <w:tcW w:w="1574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±90°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574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Sem ângulo de rumo de referência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Precisão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0.2°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RMS, medição a 25 °C; ao ligar o dispositivo, o ângulo de rumo é definido por padrão como 0 °.</w:t>
            </w:r>
          </w:p>
        </w:tc>
      </w:tr>
      <w:tr>
        <w:trPr/>
        <w:tc>
          <w:tcPr>
            <w:tcW w:w="1574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±180°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574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Angulo de rumo de referência magnética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Precisão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RMS, necessário em um campo magnético estável e após calibração do sensor magnético no local.</w:t>
            </w:r>
          </w:p>
        </w:tc>
      </w:tr>
      <w:tr>
        <w:trPr/>
        <w:tc>
          <w:tcPr>
            <w:tcW w:w="1574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±180°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5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Resolución angular</w:t>
            </w:r>
          </w:p>
        </w:tc>
        <w:tc>
          <w:tcPr>
            <w:tcW w:w="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8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0.001°</w:t>
            </w:r>
          </w:p>
        </w:tc>
        <w:tc>
          <w:tcPr>
            <w:tcW w:w="51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valor mínimo de variação que o sensor consegue detetar dentro do seu intervalo de medição.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1" w:name="heading_10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Parâmetros do giroscópio</w:t>
      </w:r>
      <w:bookmarkEnd w:id="11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503"/>
        <w:gridCol w:w="2416"/>
        <w:gridCol w:w="3361"/>
      </w:tblGrid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±450°/s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Nelinearidade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±0.05%FS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Densidade de ruído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0.015°/s/√Hz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Inestabilidade do zero de polaridade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5°/h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Allan variance, 1σ</w:t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Largura de banda (-3 dB)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50Hz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Desvio do ponto zero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±0.5°/s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</w:t>
            </w:r>
          </w:p>
        </w:tc>
      </w:tr>
      <w:tr>
        <w:trPr/>
        <w:tc>
          <w:tcPr>
            <w:tcW w:w="25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Derivação térmica em zero tempo</w:t>
            </w:r>
          </w:p>
        </w:tc>
        <w:tc>
          <w:tcPr>
            <w:tcW w:w="241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±1°/s</w:t>
            </w:r>
          </w:p>
        </w:tc>
        <w:tc>
          <w:tcPr>
            <w:tcW w:w="336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1σ RMS, -40~85℃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2" w:name="heading_11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Parâmetros do acelerómetro</w:t>
      </w:r>
      <w:bookmarkEnd w:id="12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515"/>
        <w:gridCol w:w="3764"/>
      </w:tblGrid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±16g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Nelinearidade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±0.1%FS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Densidade de ruído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100ug/√Hz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Inestabilidade do zero de polaridade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0.035mg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Largura de banda (-3 dB)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50Hz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Desvio do ponto zero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±20mg</w:t>
            </w:r>
          </w:p>
        </w:tc>
      </w:tr>
      <w:tr>
        <w:trPr/>
        <w:tc>
          <w:tcPr>
            <w:tcW w:w="45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Derivação térmica em zero tempo</w:t>
            </w:r>
          </w:p>
        </w:tc>
        <w:tc>
          <w:tcPr>
            <w:tcW w:w="3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±10mg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3" w:name="heading_12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Parâmetros do sensor magnético</w:t>
      </w:r>
      <w:bookmarkEnd w:id="13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518"/>
        <w:gridCol w:w="3075"/>
        <w:gridCol w:w="2687"/>
      </w:tblGrid>
      <w:tr>
        <w:trPr/>
        <w:tc>
          <w:tcPr>
            <w:tcW w:w="2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307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  <w:tc>
          <w:tcPr>
            <w:tcW w:w="26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2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Alcance de medição</w:t>
            </w:r>
          </w:p>
        </w:tc>
        <w:tc>
          <w:tcPr>
            <w:tcW w:w="307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±8Gauss</w:t>
            </w:r>
          </w:p>
        </w:tc>
        <w:tc>
          <w:tcPr>
            <w:tcW w:w="26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Nelinearidade</w:t>
            </w:r>
          </w:p>
        </w:tc>
        <w:tc>
          <w:tcPr>
            <w:tcW w:w="307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±0.1%FS</w:t>
            </w:r>
          </w:p>
        </w:tc>
        <w:tc>
          <w:tcPr>
            <w:tcW w:w="26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FS = ±8G</w:t>
            </w:r>
          </w:p>
        </w:tc>
      </w:tr>
      <w:tr>
        <w:trPr/>
        <w:tc>
          <w:tcPr>
            <w:tcW w:w="2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Ruído</w:t>
            </w:r>
          </w:p>
        </w:tc>
        <w:tc>
          <w:tcPr>
            <w:tcW w:w="307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0.4mGauss</w:t>
            </w:r>
          </w:p>
        </w:tc>
        <w:tc>
          <w:tcPr>
            <w:tcW w:w="26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RMS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4" w:name="heading_13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Indicadores Físicos e Elétricos</w:t>
      </w:r>
      <w:bookmarkEnd w:id="14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125"/>
        <w:gridCol w:w="2293"/>
        <w:gridCol w:w="4862"/>
      </w:tblGrid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Tensão de entrada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5VDC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Ruído ≤ 30 mV pico-pico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Consumo de energia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190mW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@5V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Interface de comunicação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UART / USB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UART corresponde ao número de produto YIS320-E11; o USB corresponde ao YIS320-E30.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Protótipo de Saída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Yesense YIS protocol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Protótipo privado Yesense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frequência de saída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200Hz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Máximo de 400 Hz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Dimensão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22.4×22.4×9.4mm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Peso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7.7g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±1g</w:t>
            </w:r>
          </w:p>
        </w:tc>
      </w:tr>
      <w:tr>
        <w:trPr/>
        <w:tc>
          <w:tcPr>
            <w:tcW w:w="11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Material da carcaça</w:t>
            </w:r>
          </w:p>
        </w:tc>
        <w:tc>
          <w:tcPr>
            <w:tcW w:w="22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Alumínio</w:t>
            </w:r>
          </w:p>
        </w:tc>
        <w:tc>
          <w:tcPr>
            <w:tcW w:w="486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240" w:after="120"/>
        <w:ind w:hanging="0" w:left="0"/>
        <w:jc w:val="left"/>
        <w:outlineLvl w:val="4"/>
        <w:rPr>
          <w:rFonts w:eastAsia="等线"/>
          <w:lang w:eastAsia="zh-CN"/>
        </w:rPr>
      </w:pPr>
      <w:bookmarkStart w:id="15" w:name="heading_14"/>
      <w:r>
        <w:rPr>
          <w:rFonts w:eastAsia="微软雅黑" w:cs="Arial" w:ascii="Times New Roman" w:hAnsi="Times New Roman"/>
          <w:b/>
          <w:sz w:val="24"/>
          <w:szCs w:val="22"/>
          <w:lang w:eastAsia="zh-CN"/>
        </w:rPr>
        <w:t>Indicadores de adaptabilidade ambiental</w:t>
      </w:r>
      <w:bookmarkEnd w:id="15"/>
    </w:p>
    <w:tbl>
      <w:tblPr>
        <w:tblStyle w:val="2"/>
        <w:tblW w:w="8265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338"/>
        <w:gridCol w:w="2401"/>
        <w:gridCol w:w="3526"/>
      </w:tblGrid>
      <w:tr>
        <w:trPr/>
        <w:tc>
          <w:tcPr>
            <w:tcW w:w="23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24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Valor típico</w:t>
            </w:r>
          </w:p>
        </w:tc>
        <w:tc>
          <w:tcPr>
            <w:tcW w:w="35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23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Temperatura de operação</w:t>
            </w:r>
          </w:p>
        </w:tc>
        <w:tc>
          <w:tcPr>
            <w:tcW w:w="24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-40~85℃</w:t>
            </w:r>
          </w:p>
        </w:tc>
        <w:tc>
          <w:tcPr>
            <w:tcW w:w="35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23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Temperatura de armazenamento</w:t>
            </w:r>
          </w:p>
        </w:tc>
        <w:tc>
          <w:tcPr>
            <w:tcW w:w="24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-45~85℃</w:t>
            </w:r>
          </w:p>
        </w:tc>
        <w:tc>
          <w:tcPr>
            <w:tcW w:w="35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Umidade relativa ≤ 65%</w:t>
            </w:r>
          </w:p>
        </w:tc>
      </w:tr>
      <w:tr>
        <w:trPr/>
        <w:tc>
          <w:tcPr>
            <w:tcW w:w="23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Resistência ao impacto</w:t>
            </w:r>
          </w:p>
        </w:tc>
        <w:tc>
          <w:tcPr>
            <w:tcW w:w="24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2000g</w:t>
            </w:r>
          </w:p>
        </w:tc>
        <w:tc>
          <w:tcPr>
            <w:tcW w:w="35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16" w:name="heading_15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Motor de articulação</w:t>
      </w:r>
      <w:bookmarkEnd w:id="16"/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 sistema de motores articulados T800 utiliza motores servo de alto desempenho da série Q, desenvolvidos internamente pela Zhongqing (incluindo modelos Q300H, Q200H, Q50H e Q25H), atendendo a todas as necessidades, desde articulações principais com alto torque até articulações finais de baixo peso. Os seguintes modelos apresentam os seguintes valores de torque máximo na extremidade articular: o motor Q300H-L alcança um torque máximo de 415 N·m, com uma saída contínua de 92 N·m; o Q300H tem um torque máximo de 370 N·m e uma saída contínua de 80 N·m; o Q200H oferece um torque máximo de 222 N·m e uma saída contínua de 42 N·m; o motor articular leve Q50H tem um torque máximo de 160 N·m e uma saída contínua de 28 N·m; já o motor articular miniatura Q25H apresenta um torque máximo de 52 N·m e uma saída contínua de 10 N·m.Todos os motores da série Q possuem um design de eixo oco, que garante alta resistência mecânica ao mesmo tempo em que promove uma estrutura leve e compacta, facilitando a instalação dos cabos internos.</w:t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 motor integra um sistema de duplo codificador, combinado com um codificador de posição de alta precisão e sensores de torque e corrente, permitindo fornecer feedback preciso de posição, velocidade e força, atendendo assim às exigências de controle dinâmico avançado. Graças ao design do rotor de baixa inércia (a inércia do rotor no extremo articular do Q300H chega a 0,14 kg·m², enquanto no Q25H é de apenas 0,0067 kg·m²), o articulado apresenta uma resposta extremamente rápida e um desempenho dinâmico excepcional. A estrutura otimizada de dissipação térmica permite ao motor operar por longos períodos sob carga elevada, garantindo o funcionamento contínuo e estável do robô. Além disso, o articulado linear L05 e o articulado digital F17 fornecem, respetivamente, uma força linear de 200 N e uma força de acionamento precisa de 1,1 N·m, assegurando flexibilidade e controle preciso em todo o braço.</w:t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 diagrama simplificada da configuração dos articulações do mecanismo completo das versões básica e de desenvolvimento do T800 é a seguinte:</w:t>
      </w:r>
    </w:p>
    <w:p>
      <w:pPr>
        <w:pStyle w:val="Normal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257800" cy="3457575"/>
            <wp:effectExtent l="0" t="0" r="0" b="0"/>
            <wp:docPr id="4" name="Drawing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As especificações técnicas do motor de articulação são as seguintes:</w:t>
      </w:r>
    </w:p>
    <w:tbl>
      <w:tblPr>
        <w:tblStyle w:val="2"/>
        <w:tblW w:w="8295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954"/>
        <w:gridCol w:w="1006"/>
        <w:gridCol w:w="1005"/>
        <w:gridCol w:w="1034"/>
        <w:gridCol w:w="1035"/>
        <w:gridCol w:w="1260"/>
      </w:tblGrid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Modelo do motor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Q25H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Q50H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Q200H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Q300H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Q300H-L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Codificador de articulações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Dupla codificação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Dupla codificação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Dupla codificação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Dupla codificação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Dupla codificação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Tipos de articulações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Todos os planetas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Todos os planetas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Todos os planetas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Todos os planetas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Todos os planetas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Momento máximo (Nm)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50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160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222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370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415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Densidade de densidade de torque máximo (Nm/kg)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100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168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134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176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160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Velocidade máxima de rotação (rpm)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8400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8000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3200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6000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5800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Relação de redução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14.45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24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24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Massa (kg)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0.5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0.95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1.65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2.1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2.6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Diâmetro (mm)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62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76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97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110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110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Altura (mm)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60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62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65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65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80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Tensão nominal (V)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48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63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63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63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63</w:t>
            </w:r>
          </w:p>
        </w:tc>
      </w:tr>
      <w:tr>
        <w:trPr/>
        <w:tc>
          <w:tcPr>
            <w:tcW w:w="295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Precisão do controle de força</w:t>
            </w:r>
          </w:p>
        </w:tc>
        <w:tc>
          <w:tcPr>
            <w:tcW w:w="10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</w:t>
            </w:r>
          </w:p>
        </w:tc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</w:t>
            </w:r>
          </w:p>
        </w:tc>
        <w:tc>
          <w:tcPr>
            <w:tcW w:w="12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5%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17" w:name="heading_16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Sistema de coordenadas e configuração do equipamento completo</w:t>
      </w:r>
      <w:bookmarkEnd w:id="17"/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18" w:name="heading_17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Sistema de coordenadas</w:t>
      </w:r>
      <w:bookmarkEnd w:id="18"/>
    </w:p>
    <w:p>
      <w:pPr>
        <w:pStyle w:val="Normal"/>
        <w:spacing w:lineRule="auto" w:line="288" w:before="120" w:after="120"/>
        <w:ind w:hanging="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Quando todas as articulações estão na posição padrão, os sistemas de coordenadas são apresentados na figura abaixo: o vermelho corresponde ao eixo x, o verde ao eixo y e o azul ao eixo z.</w:t>
      </w:r>
    </w:p>
    <w:p>
      <w:pPr>
        <w:pStyle w:val="Normal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029200" cy="7934325"/>
            <wp:effectExtent l="0" t="0" r="0" b="0"/>
            <wp:docPr id="5" name="Drawing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8" w:before="120" w:after="120"/>
        <w:ind w:hanging="0" w:left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highlight w:val="none"/>
          <w:shd w:fill="FFFF00" w:val="clear"/>
        </w:rPr>
      </w:pPr>
      <w:bookmarkStart w:id="19" w:name="heading_18"/>
      <w:r>
        <w:rPr>
          <w:rFonts w:eastAsia="微软雅黑" w:cs="Arial" w:ascii="Times New Roman" w:hAnsi="Times New Roman"/>
          <w:b/>
          <w:sz w:val="30"/>
          <w:szCs w:val="22"/>
          <w:shd w:fill="FFFF00" w:val="clear"/>
          <w:lang w:eastAsia="zh-CN"/>
        </w:rPr>
        <w:t>Número da articulação e espaço de movimento articular</w:t>
      </w:r>
      <w:bookmarkEnd w:id="19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95"/>
        <w:gridCol w:w="929"/>
        <w:gridCol w:w="2595"/>
        <w:gridCol w:w="2234"/>
        <w:gridCol w:w="2027"/>
      </w:tblGrid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Número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Barra de ligação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Nomenclatura de bielas e malhas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Nomenclatura das articulações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Espaço de movimento das articulações</w:t>
            </w:r>
          </w:p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(rad)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quadril esquerdo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LINK_HIP_PITCH_L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J00_HIP_PITCH_L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-2.88 ~ 2.181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Girar lateralmente o quadril esquerdo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LINK_HIP_ROLL_L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J01_HIP_ROLL_L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-0.2618 ~ 1.7444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quadril esquerdo desvia-se.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LINK_HIP_YAW_L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J02_HIP_YAW_L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-1.4137 ~ 3.8921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joelho esquerdo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LINK_KNEE_PITCH_L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J03_KNEE_PITCH_L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-0.261667 ~ 2.355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tornozelo esquerdo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LINK_ANKLE_PITCH_L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J04_ANKLE_PITCH_L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-0.68068 ~ 0.68068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Girar lateralmente no tornozelo esquerdo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LINK_ANKLE_ROLL_L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J05_ANKLE_ROLL_L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-0.3491 ~ 0.1745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quadril direito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LINK_HIP_PITCH_R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J06_HIP_PITCH_R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-2.879 ~ 2.181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Girar lateralmente no quadril direito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LINK_HIP_ROLL_R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J07_HIP_ROLL_R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-1.7444 ~ 0.2618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Desvio do quadril direito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LINK_HIP_YAW_R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J08_HIP_YAW_R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-3.8921 ~ 1.4137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joelho direito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LINK_KNEE_PITCH_R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J09_KNEE_PITCH_R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-0.261667 ~ 2.355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tornozelo direito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LINK_ANKLE_PITCH_R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J10_ANKLE_PITCH_R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-0.68068 ~ 0.68068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Girar lateralmente no tornozelo direito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LINK_ANKLE_ROLL_R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J11_ANKLE_ROLL_R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-0.1745 ~ 0.3491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13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Desvio lateral da coluna vertebral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LINK_TORSO_YAW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J12_TORSO_YAW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-2.81 ~ 2.81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14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ombro esquerdo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LINK_SHOULDER_PITCH_L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J13_SHOULDER_PITCH_L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-3.229 ~ 2.443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Rodar horizontalmente pelo ombro esquerdo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LINK_SHOULDER_ROLL_L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J14_SHOULDER_ROLL_L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-0.436 ~ 2.487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16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ombro esquerdo desvia-se.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LINK_SHOULDER_YAW_L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J15_SHOULDER_YAW_L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-2.618 ~ 2.618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17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cotovelo esquerdo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LINK_ELBOW_PITCH_L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J16_ELBOW_PITCH_L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-2.295 ~ 0.288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18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cotovelo esquerdo desvia-se.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LINK_ELBOW_YAW_L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J17_ELBOW_YAW_L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-2.618 ~ 2.618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19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ombro direito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LINK_SHOULDER_PITCH_R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J18_SHOULDER_PITCH_R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-3.229 ~ 2.443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Rodar horizontalmente com o ombro direito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LINK_SHOULDER_ROLL_R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J19_SHOULDER_ROLL_R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-2.487 ~ 0.436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21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ombro direito desvia-se.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LINK_SHOULDER_YAW_R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J20_SHOULDER_YAW_R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-2.618 ~ 2.618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22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do cotovelo direito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LINK_ELBOW_PITCH_R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J21_ELBOW_PITCH_R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-2.295 ~ 0.288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23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O cotovelo direito desvia-se.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LINK_ELBOW_YAW_R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J22_ELBOW_YAW_R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-2.618 ~ 2.618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24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Inclinação da cabeça para cima ou para baixo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LINK_HEAD_PITCH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J23_HEAD_PITCH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-0.523 ~ 0.523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25</w:t>
            </w:r>
          </w:p>
        </w:tc>
        <w:tc>
          <w:tcPr>
            <w:tcW w:w="9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Desvio da direção do cabeçote</w:t>
            </w:r>
          </w:p>
        </w:tc>
        <w:tc>
          <w:tcPr>
            <w:tcW w:w="25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center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LINK_HEAD_YAW</w:t>
            </w:r>
          </w:p>
        </w:tc>
        <w:tc>
          <w:tcPr>
            <w:tcW w:w="22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J24_HEAD_YAW</w:t>
            </w:r>
          </w:p>
        </w:tc>
        <w:tc>
          <w:tcPr>
            <w:tcW w:w="20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1.222 ~ 1.222</w:t>
            </w:r>
          </w:p>
        </w:tc>
      </w:tr>
    </w:tbl>
    <w:p>
      <w:pPr>
        <w:pStyle w:val="Normal"/>
        <w:numPr>
          <w:ilvl w:val="0"/>
          <w:numId w:val="4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Os parâmetros do espaço de movimento articular encontram-se em URDF.</w:t>
      </w:r>
    </w:p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highlight w:val="none"/>
          <w:shd w:fill="FFFF00" w:val="clear"/>
        </w:rPr>
      </w:pPr>
      <w:bookmarkStart w:id="20" w:name="heading_19"/>
      <w:r>
        <w:rPr>
          <w:rFonts w:eastAsia="微软雅黑" w:cs="Arial" w:ascii="Times New Roman" w:hAnsi="Times New Roman"/>
          <w:b/>
          <w:sz w:val="32"/>
          <w:szCs w:val="22"/>
          <w:shd w:fill="FFFF00" w:val="clear"/>
          <w:lang w:eastAsia="zh-CN"/>
        </w:rPr>
        <w:t>Indicador luminoso</w:t>
      </w:r>
      <w:bookmarkEnd w:id="20"/>
    </w:p>
    <w:p>
      <w:pPr>
        <w:pStyle w:val="Normal"/>
        <w:spacing w:lineRule="auto" w:line="288" w:before="120" w:after="120"/>
        <w:ind w:firstLine="42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Utiliza uma fonte luminosa LED inteligente de controle externo que integra um circuito de controle centralizado e um circuito emissor de luz, sendo cada componente correspondente a um pixel. Cada pixel contém um circuito de acionamento composto por interface digital inteligente para armazenamento de sinais, formação e amplificação, além de um oscilador interno de alta precisão e uma unidade de controle de corrente fixa programável, garantindo eficazmente uma elevada uniformidade na cor da luz emitida por cada pixel.</w:t>
      </w:r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21" w:name="heading_20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Valor nominal máximo</w:t>
      </w:r>
      <w:bookmarkEnd w:id="21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070"/>
        <w:gridCol w:w="2070"/>
        <w:gridCol w:w="2070"/>
        <w:gridCol w:w="2069"/>
      </w:tblGrid>
      <w:tr>
        <w:trPr/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Símbolo</w:t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Área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Unidade</w:t>
            </w:r>
          </w:p>
        </w:tc>
      </w:tr>
      <w:tr>
        <w:trPr/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Tensão da fonte de alimentação</w:t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+3.7~+5.3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</w:t>
            </w:r>
          </w:p>
        </w:tc>
      </w:tr>
      <w:tr>
        <w:trPr/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Tensão de entrada para o circuito lógico</w:t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2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-0.3V~$V_{DD}$+0.7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22" w:name="heading_21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Parâmetros Elétricos</w:t>
      </w:r>
      <w:bookmarkEnd w:id="22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380"/>
        <w:gridCol w:w="1379"/>
        <w:gridCol w:w="1381"/>
        <w:gridCol w:w="1380"/>
        <w:gridCol w:w="1379"/>
        <w:gridCol w:w="1380"/>
      </w:tblGrid>
      <w:tr>
        <w:trPr/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Símbolo</w:t>
            </w:r>
          </w:p>
        </w:tc>
        <w:tc>
          <w:tcPr>
            <w:tcW w:w="13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Mínimo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Máximo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Unidade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Condições de teste</w:t>
            </w:r>
          </w:p>
        </w:tc>
      </w:tr>
      <w:tr>
        <w:trPr/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Corrente de entrada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3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——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±1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μA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Entrada de nível elevado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3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0.7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+0.7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, SET</w:t>
            </w:r>
          </w:p>
        </w:tc>
      </w:tr>
      <w:tr>
        <w:trPr/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Entrada de nível baixo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3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-0.3V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0.7V</w:t>
            </w:r>
          </w:p>
        </w:tc>
        <w:tc>
          <w:tcPr>
            <w:tcW w:w="13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V</w:t>
            </w:r>
          </w:p>
        </w:tc>
        <w:tc>
          <w:tcPr>
            <w:tcW w:w="13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, SET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23" w:name="heading_22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Propriedades dos interruptores</w:t>
      </w:r>
      <w:bookmarkEnd w:id="23"/>
    </w:p>
    <w:tbl>
      <w:tblPr>
        <w:tblStyle w:val="2"/>
        <w:tblW w:w="8251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650"/>
        <w:gridCol w:w="1650"/>
        <w:gridCol w:w="1650"/>
        <w:gridCol w:w="1650"/>
        <w:gridCol w:w="1651"/>
      </w:tblGrid>
      <w:tr>
        <w:trPr/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Símbolo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Máximo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Unidade</w:t>
            </w:r>
          </w:p>
        </w:tc>
        <w:tc>
          <w:tcPr>
            <w:tcW w:w="16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Condições de teste</w:t>
            </w:r>
          </w:p>
        </w:tc>
      </w:tr>
      <w:tr>
        <w:trPr/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Tempo de latência de transmissão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300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ns</w:t>
            </w:r>
          </w:p>
        </w:tc>
        <w:tc>
          <w:tcPr>
            <w:tcW w:w="16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CL=15pF, DIN→DOUT, RL=10KΩ</w:t>
            </w:r>
          </w:p>
        </w:tc>
      </w:tr>
      <w:tr>
        <w:trPr/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Tempo de descida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120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μs</w:t>
            </w:r>
          </w:p>
        </w:tc>
        <w:tc>
          <w:tcPr>
            <w:tcW w:w="16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CL=300pF, OUTR/OUTG/OUTB</w:t>
            </w:r>
          </w:p>
        </w:tc>
      </w:tr>
      <w:tr>
        <w:trPr/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Capacitância de entrada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16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pF</w:t>
            </w:r>
          </w:p>
        </w:tc>
        <w:tc>
          <w:tcPr>
            <w:tcW w:w="16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——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24" w:name="heading_23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Parâmetros de características dos LEDs</w:t>
      </w:r>
      <w:bookmarkEnd w:id="24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4"/>
      </w:tblGrid>
      <w:tr>
        <w:trPr/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Parâmetro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Símbolo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Cor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Corrente estática &lt; 0,6 mA – valor mínimo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Corrente estática &lt; 0,6 mA – valor típico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Corrente estática &lt; 0,6 mA – valor máximo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Unidade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Corrente de trabalho</w:t>
            </w:r>
          </w:p>
        </w:tc>
      </w:tr>
      <w:tr>
        <w:trPr/>
        <w:tc>
          <w:tcPr>
            <w:tcW w:w="103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Intensidade de emissão luminosa</w:t>
            </w:r>
          </w:p>
        </w:tc>
        <w:tc>
          <w:tcPr>
            <w:tcW w:w="103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Red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260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320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380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mcd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  <w:tr>
        <w:trPr/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Green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850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1200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mcd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  <w:tr>
        <w:trPr/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Blue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110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130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mcd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  <w:tr>
        <w:trPr/>
        <w:tc>
          <w:tcPr>
            <w:tcW w:w="103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Tamanho de onda</w:t>
            </w:r>
          </w:p>
        </w:tc>
        <w:tc>
          <w:tcPr>
            <w:tcW w:w="103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Red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620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623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625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nm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  <w:tr>
        <w:trPr/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Green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520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523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525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nm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  <w:tr>
        <w:trPr/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vMerge w:val="continue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Blue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449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451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454</w:t>
            </w:r>
          </w:p>
        </w:tc>
        <w:tc>
          <w:tcPr>
            <w:tcW w:w="10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nm</w:t>
            </w:r>
          </w:p>
        </w:tc>
        <w:tc>
          <w:tcPr>
            <w:tcW w:w="1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12.5mA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20" w:after="120"/>
        <w:ind w:hanging="0" w:left="0"/>
        <w:jc w:val="left"/>
        <w:outlineLvl w:val="1"/>
        <w:rPr>
          <w:rFonts w:eastAsia="等线"/>
          <w:lang w:eastAsia="zh-CN"/>
        </w:rPr>
      </w:pPr>
      <w:bookmarkStart w:id="25" w:name="heading_24"/>
      <w:r>
        <w:rPr>
          <w:rFonts w:eastAsia="微软雅黑" w:cs="Arial" w:ascii="Times New Roman" w:hAnsi="Times New Roman"/>
          <w:b/>
          <w:sz w:val="32"/>
          <w:szCs w:val="22"/>
          <w:lang w:eastAsia="zh-CN"/>
        </w:rPr>
        <w:t>*Bateria</w:t>
      </w:r>
      <w:bookmarkEnd w:id="25"/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rFonts w:eastAsia="等线"/>
          <w:lang w:eastAsia="zh-CN"/>
        </w:rPr>
      </w:pPr>
      <w:bookmarkStart w:id="26" w:name="heading_25"/>
      <w:r>
        <w:rPr>
          <w:rFonts w:eastAsia="微软雅黑" w:cs="Arial" w:ascii="Times New Roman" w:hAnsi="Times New Roman"/>
          <w:b/>
          <w:sz w:val="30"/>
          <w:szCs w:val="22"/>
          <w:lang w:eastAsia="zh-CN"/>
        </w:rPr>
        <w:t>Parâmetros principais</w:t>
      </w:r>
      <w:bookmarkEnd w:id="26"/>
    </w:p>
    <w:tbl>
      <w:tblPr>
        <w:tblStyle w:val="2"/>
        <w:tblW w:w="8280" w:type="dxa"/>
        <w:jc w:val="left"/>
        <w:tblInd w:w="11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049"/>
        <w:gridCol w:w="2220"/>
        <w:gridCol w:w="3780"/>
        <w:gridCol w:w="1230"/>
      </w:tblGrid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Número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Tipo de bateria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b/>
                <w:kern w:val="0"/>
                <w:sz w:val="22"/>
                <w:szCs w:val="22"/>
                <w:lang w:eastAsia="zh-CN"/>
              </w:rPr>
              <w:t>Bateria de íons de lítio ternária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Nota</w:t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Capacidade nominal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20Ah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Tensão nominal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61.2V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Energia da bateria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1.22kWh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Faixa de tensão de operação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50V ~ 71.2V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Corrente máxima contínua de descarga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90A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Corrente de descarga de pico de curta duração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800A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Corrente máxima de carregamento contínuo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10A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Tensão máxima de carga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71.2V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Durabilidade da bateria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&gt;=3H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Andar normalmente</w:t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Tempo de carregamento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2.5H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Câmbio de baterias de fácil remoção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Suporte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Modo de carregamento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Carregamento exclusivo da bateria (o corpo do dispositivo não suporta este modo)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13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Massa total do sistema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≈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7.2KG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14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Material da carcaça do pacote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Alumínio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Temperatura do ambiente de trabalho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Arial" w:hAnsi="Arial" w:eastAsia="等线" w:cs="Arial"/>
                <w:sz w:val="22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Carregamento da bateria: 0°C a +45°C</w:t>
            </w:r>
          </w:p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Descarga da bateria: -20°C a +60°C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16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Temperatura ambiente do ambiente de armazenamento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Arial" w:hAnsi="Arial" w:eastAsia="等线" w:cs="Arial"/>
                <w:sz w:val="22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Ano: 0°C a 25°C; umidade relativa ≤70%</w:t>
            </w:r>
          </w:p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3 meses: -10°C a 40°C; umidade relativa ≤70%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17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Umidade do ambiente de trabalho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≤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95%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  <w:tr>
        <w:trPr/>
        <w:tc>
          <w:tcPr>
            <w:tcW w:w="1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18</w:t>
            </w:r>
          </w:p>
        </w:tc>
        <w:tc>
          <w:tcPr>
            <w:tcW w:w="22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Requisitos de altitude para o trabalho</w:t>
            </w:r>
          </w:p>
        </w:tc>
        <w:tc>
          <w:tcPr>
            <w:tcW w:w="37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eastAsia="等线"/>
                <w:lang w:eastAsia="zh-CN"/>
              </w:rPr>
            </w:pP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≤</w:t>
            </w:r>
            <w:r>
              <w:rPr>
                <w:rFonts w:eastAsia="微软雅黑" w:cs="Arial" w:ascii="Times New Roman" w:hAnsi="Times New Roman"/>
                <w:kern w:val="0"/>
                <w:sz w:val="22"/>
                <w:szCs w:val="22"/>
                <w:lang w:eastAsia="zh-CN"/>
              </w:rPr>
              <w:t>4000M</w:t>
            </w:r>
          </w:p>
        </w:tc>
        <w:tc>
          <w:tcPr>
            <w:tcW w:w="1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suppressAutoHyphens w:val="true"/>
              <w:spacing w:lineRule="auto" w:line="288" w:before="120" w:after="120"/>
              <w:ind w:left="0"/>
              <w:jc w:val="left"/>
              <w:rPr>
                <w:rFonts w:ascii="Calibri" w:hAnsi="Calibri" w:eastAsia="宋体" w:cs=""/>
                <w:kern w:val="0"/>
              </w:rPr>
            </w:pPr>
            <w:r>
              <w:rPr>
                <w:rFonts w:eastAsia="宋体" w:cs=""/>
                <w:kern w:val="0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highlight w:val="none"/>
          <w:shd w:fill="FFFF00" w:val="clear"/>
        </w:rPr>
      </w:pPr>
      <w:bookmarkStart w:id="27" w:name="heading_26"/>
      <w:r>
        <w:rPr>
          <w:rFonts w:eastAsia="微软雅黑" w:cs="Arial" w:ascii="Times New Roman" w:hAnsi="Times New Roman"/>
          <w:b/>
          <w:sz w:val="30"/>
          <w:szCs w:val="22"/>
          <w:shd w:fill="FFFF00" w:val="clear"/>
          <w:lang w:eastAsia="zh-CN"/>
        </w:rPr>
        <w:t>Requisitos de armazenamento</w:t>
      </w:r>
      <w:bookmarkEnd w:id="27"/>
    </w:p>
    <w:p>
      <w:pPr>
        <w:pStyle w:val="Normal"/>
        <w:numPr>
          <w:ilvl w:val="0"/>
          <w:numId w:val="5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 bateria deve ser armazenada em estado de carga incompleta.</w:t>
      </w:r>
    </w:p>
    <w:p>
      <w:pPr>
        <w:pStyle w:val="Normal"/>
        <w:numPr>
          <w:ilvl w:val="0"/>
          <w:numId w:val="6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Temperatura de armazenamento: para períodos inferiores a 3 meses, entre -10 °C e 40 °C; para períodos iguais ou superiores a 3 meses, entre 0 °C e 25 °C.</w:t>
      </w:r>
    </w:p>
    <w:p>
      <w:pPr>
        <w:pStyle w:val="Normal"/>
        <w:numPr>
          <w:ilvl w:val="0"/>
          <w:numId w:val="7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Umidade de armazenamento: entre 2% RH e 90% RH; recomenda-se armazenar dentro do intervalo de até 85% RH.</w:t>
      </w:r>
    </w:p>
    <w:p>
      <w:pPr>
        <w:pStyle w:val="Normal"/>
        <w:numPr>
          <w:ilvl w:val="0"/>
          <w:numId w:val="8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Ambiente de armazenamento: o produto deve ser mantido em um local limpo, seco, bem ventilado e fresco, evitando exposição direta à luz solar, temperaturas elevadas, chuva, gases corrosivos, vibrações intensas, impactos mecânicos e pressões elevadas; deve estar longe de fontes de fogo e calor; a altitude deve ser inferior a 1500 metros e a pressão atmosférica deve estar entre 86 kPa e 106 kPa.</w:t>
      </w:r>
    </w:p>
    <w:p>
      <w:pPr>
        <w:pStyle w:val="Normal"/>
        <w:numPr>
          <w:ilvl w:val="0"/>
          <w:numId w:val="9"/>
        </w:numPr>
        <w:spacing w:lineRule="auto" w:line="288" w:before="120" w:after="120"/>
        <w:ind w:hanging="0" w:left="0"/>
        <w:jc w:val="left"/>
        <w:rPr/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Armazenamento e manutenção do SOC: armazenar com níveis de SOC entre 20% e 50%; monitorar o estado do SOC a cada dois meses; caso este fique abaixo de 20%, realizar uma carga complementar para ajustá-lo entre 40% e 50%; antes do uso, é necessário realizar uma carga completa.</w:t>
      </w:r>
    </w:p>
    <w:p>
      <w:pPr>
        <w:pStyle w:val="Normal"/>
        <w:numPr>
          <w:ilvl w:val="0"/>
          <w:numId w:val="0"/>
        </w:numPr>
        <w:spacing w:lineRule="auto" w:line="288" w:before="300" w:after="120"/>
        <w:ind w:hanging="0" w:left="0"/>
        <w:jc w:val="left"/>
        <w:outlineLvl w:val="2"/>
        <w:rPr>
          <w:highlight w:val="none"/>
          <w:shd w:fill="FFFF00" w:val="clear"/>
        </w:rPr>
      </w:pPr>
      <w:bookmarkStart w:id="28" w:name="heading_27"/>
      <w:r>
        <w:rPr>
          <w:rFonts w:eastAsia="微软雅黑" w:cs="Arial" w:ascii="Times New Roman" w:hAnsi="Times New Roman"/>
          <w:b/>
          <w:sz w:val="30"/>
          <w:szCs w:val="22"/>
          <w:shd w:fill="FFFF00" w:val="clear"/>
          <w:lang w:eastAsia="zh-CN"/>
        </w:rPr>
        <w:t>Requisitos de transporte</w:t>
      </w:r>
      <w:bookmarkEnd w:id="28"/>
    </w:p>
    <w:p>
      <w:pPr>
        <w:pStyle w:val="Normal"/>
        <w:spacing w:lineRule="auto" w:line="288" w:before="120" w:after="120"/>
        <w:ind w:firstLine="420" w:left="0"/>
        <w:jc w:val="left"/>
        <w:rPr>
          <w:rFonts w:eastAsia="等线"/>
          <w:lang w:eastAsia="zh-CN"/>
        </w:rPr>
      </w:pPr>
      <w:r>
        <w:rPr>
          <w:rFonts w:eastAsia="微软雅黑" w:cs="Arial" w:ascii="Times New Roman" w:hAnsi="Times New Roman"/>
          <w:sz w:val="22"/>
          <w:szCs w:val="22"/>
          <w:lang w:eastAsia="zh-CN"/>
        </w:rPr>
        <w:t>A bateria deve ser transportada quando não está completamente carregada, preferencialmente com um nível de carga (SOC) entre 20% e 50%. Durante o transporte, deve ser manuseada com cuidado, evitando impactos, golpes, vibrações intensas, choques, exposição ao sol ou à chuva; é essencial garantir que não ocorra curto-circuito e proíbe-se rigorosamente a sua armazenagem junto a substâncias corrosivas, como ácidos ou álcalis. Ao carregar ou descarregar, deve-se movê-la com delicadeza, evitando quedas, rotações bruscas ou pressões excessivas.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shape_0" adj="10800" fillcolor="black" stroked="f" o:allowincell="f" style="position:absolute;margin-left:165.65pt;margin-top:334.9pt;width:119.9pt;height:28.05pt;mso-wrap-style:none;v-text-anchor:middle;mso-position-horizontal:center;mso-position-horizontal-relative:margin;mso-position-vertical:center;mso-position-vertical-relative:margin" type="_x0000_t136">
          <v:path textpathok="t"/>
          <v:textpath on="t" fitshape="t" string=" 陈梦凡 0243" style="font-family:&quot;antinghei SC Demibol&quot;;font-size:20pt" trim="t"/>
          <v:fill o:detectmouseclick="t" type="solid" color2="white" opacity="0.28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pict>
        <v:shape id="PowerPlusWaterMarkObject1" o:spid="shape_0" adj="10800" fillcolor="black" stroked="f" o:allowincell="f" style="position:absolute;margin-left:165.65pt;margin-top:334.9pt;width:119.9pt;height:28.05pt;mso-wrap-style:none;v-text-anchor:middle;mso-position-horizontal:center;mso-position-horizontal-relative:margin;mso-position-vertical:center;mso-position-vertical-relative:margin" type="_x0000_t136">
          <v:path textpathok="t"/>
          <v:textpath on="t" fitshape="t" string=" 陈梦凡 0243" style="font-family:&quot;antinghei SC Demibol&quot;;font-size:20pt" trim="t"/>
          <v:fill o:detectmouseclick="t" type="solid" color2="white" opacity="0.28"/>
          <v:stroke color="#3465a4" joinstyle="round" endcap="flat"/>
          <w10:wrap type="none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0"/>
        </w:tabs>
        <w:ind w:left="0" w:hanging="0"/>
      </w:pPr>
      <w:rPr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0"/>
        </w:tabs>
        <w:ind w:left="0" w:hanging="0"/>
      </w:pPr>
      <w:rPr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4"/>
      <w:numFmt w:val="decimal"/>
      <w:lvlText w:val="%1."/>
      <w:lvlJc w:val="left"/>
      <w:pPr>
        <w:tabs>
          <w:tab w:val="num" w:pos="0"/>
        </w:tabs>
        <w:ind w:left="0" w:hanging="0"/>
      </w:pPr>
      <w:rPr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5"/>
      <w:numFmt w:val="decimal"/>
      <w:lvlText w:val="%1."/>
      <w:lvlJc w:val="left"/>
      <w:pPr>
        <w:tabs>
          <w:tab w:val="num" w:pos="0"/>
        </w:tabs>
        <w:ind w:left="0" w:hanging="0"/>
      </w:pPr>
      <w:rPr>
        <w:color w:val="3370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99"/>
  <w:defaultTabStop w:val="720"/>
  <w:autoHyphenation w:val="true"/>
  <w:compat>
    <w:compatSetting w:name="compatibilityMode" w:uri="http://schemas.microsoft.com/office/word" w:val="12"/>
  </w:compat>
  <w:documentProtection w:edit="readOnly" w:cryptProviderType="rsaAES" w:cryptAlgorithmClass="hash" w:cryptAlgorithmType="typeAny" w:cryptAlgorithmSid="" w:cryptSpinCount="0" w:hash="" w:salt="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2"/>
      <w:lang w:val="pt-BR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LibreOffice/24.2.7.2$Linux_X86_64 LibreOffice_project/420$Build-2</Application>
  <AppVersion>15.0000</AppVersion>
  <Pages>24</Pages>
  <Words>2950</Words>
  <Characters>16121</Characters>
  <CharactersWithSpaces>18329</CharactersWithSpaces>
  <Paragraphs>733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2026-06-25T02:19:00Z</dcterms:created>
  <dc:creator>Apache POI</dc:creator>
  <dc:description/>
  <dc:language>pt-BR</dc:language>
  <cp:lastModifiedBy/>
  <dcterms:modified xsi:type="dcterms:W3CDTF">2026-07-20T17:06:54Z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3E8CF2B99DF74FC5B8FCD848C2A2C941_12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eyJoZGlkIjoiYjQ2ZTkzOGI3N2FiOTljZjU1ZTljYjU3YTlmMWYwZGUiLCJ1c2VySWQiOiIyOTM2MzAwOTYifQ==</vt:lpwstr>
  </property>
</Properties>
</file>