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CAF" w:rsidRDefault="00543CAF" w:rsidP="00543CAF">
      <w:r>
        <w:t>1. Maintenance &amp; Servicing</w:t>
      </w:r>
    </w:p>
    <w:p w:rsidR="00543CAF" w:rsidRDefault="00543CAF" w:rsidP="00543CAF">
      <w:r>
        <w:t xml:space="preserve"> * 1.1 Routine Maintenance &amp; IMU Calibration</w:t>
      </w:r>
    </w:p>
    <w:p w:rsidR="00543CAF" w:rsidRDefault="00543CAF" w:rsidP="00543CAF">
      <w:r>
        <w:t xml:space="preserve">   * </w:t>
      </w:r>
      <w:r>
        <w:rPr>
          <w:rFonts w:hint="eastAsia"/>
        </w:rPr>
        <w:t>Answer</w:t>
      </w:r>
      <w:r>
        <w:t>: Under standard operating conditions, IMU recalibration is generally not required (even after minor impacts). However, routine maintenance requires periodic joint zero-position calibration to ensure movement accuracy and joint stability.</w:t>
      </w:r>
    </w:p>
    <w:p w:rsidR="00543CAF" w:rsidRDefault="00543CAF" w:rsidP="00543CAF">
      <w:r>
        <w:t>* 1.2 Charging Base / Dock</w:t>
      </w:r>
    </w:p>
    <w:p w:rsidR="00543CAF" w:rsidRDefault="00543CAF" w:rsidP="00543CAF">
      <w:r>
        <w:t xml:space="preserve">   * </w:t>
      </w:r>
      <w:r>
        <w:rPr>
          <w:rFonts w:hint="eastAsia"/>
        </w:rPr>
        <w:t>Answer</w:t>
      </w:r>
      <w:r>
        <w:t>: We currently do not offer a charging dock or base station for in-chassis charging while the robot is powered off. The battery must be removed from the robot and charged using the dedicated external charger.</w:t>
      </w:r>
    </w:p>
    <w:p w:rsidR="00543CAF" w:rsidRDefault="00543CAF" w:rsidP="00543CAF">
      <w:r>
        <w:t>2. Hardware Diagnostics &amp; Troubleshooting</w:t>
      </w:r>
    </w:p>
    <w:p w:rsidR="00543CAF" w:rsidRDefault="00543CAF" w:rsidP="00543CAF">
      <w:r>
        <w:t xml:space="preserve"> * 2.1 Leg &amp; Motor Telemetry</w:t>
      </w:r>
    </w:p>
    <w:p w:rsidR="00543CAF" w:rsidRDefault="00543CAF" w:rsidP="00543CAF">
      <w:r>
        <w:t xml:space="preserve">   * </w:t>
      </w:r>
      <w:r>
        <w:rPr>
          <w:rFonts w:hint="eastAsia"/>
        </w:rPr>
        <w:t>Answer</w:t>
      </w:r>
      <w:r>
        <w:t>: We provide proprietary diagnostic tools and inspection routines to read motor telemetry, check operational status, and determine whether joint play is within tolerance or if a motor actuator requires replacement.</w:t>
      </w:r>
    </w:p>
    <w:p w:rsidR="00543CAF" w:rsidRDefault="00543CAF" w:rsidP="00543CAF">
      <w:r>
        <w:t>* 2.2 Component &amp; Limb Replacement</w:t>
      </w:r>
    </w:p>
    <w:p w:rsidR="00543CAF" w:rsidRDefault="00543CAF" w:rsidP="00543CAF">
      <w:pPr>
        <w:rPr>
          <w:rFonts w:hint="eastAsia"/>
        </w:rPr>
      </w:pPr>
      <w:r>
        <w:t xml:space="preserve">   * </w:t>
      </w:r>
      <w:r>
        <w:rPr>
          <w:rFonts w:hint="eastAsia"/>
        </w:rPr>
        <w:t>Answer</w:t>
      </w:r>
      <w:r>
        <w:t>: At present, limb replacement, retrofitting, or modular limb swapping is not supported for this model.</w:t>
      </w:r>
    </w:p>
    <w:p w:rsidR="00543CAF" w:rsidRDefault="00543CAF" w:rsidP="00543CAF">
      <w:r>
        <w:t>3. System Formatting, Files &amp; Software Architecture</w:t>
      </w:r>
    </w:p>
    <w:p w:rsidR="00543CAF" w:rsidRDefault="00543CAF" w:rsidP="00543CAF">
      <w:r>
        <w:t xml:space="preserve"> * 3.1 System Formatting, ISO &amp; Specific Files</w:t>
      </w:r>
    </w:p>
    <w:p w:rsidR="00543CAF" w:rsidRDefault="00543CAF" w:rsidP="00543CAF">
      <w:r>
        <w:t xml:space="preserve">   * </w:t>
      </w:r>
      <w:r>
        <w:rPr>
          <w:rFonts w:hint="eastAsia"/>
        </w:rPr>
        <w:t>Answer</w:t>
      </w:r>
      <w:r>
        <w:t>: Standard system recovery images and specific requested files will be packaged and shared with your team via a Google Drive link.</w:t>
      </w:r>
    </w:p>
    <w:p w:rsidR="00543CAF" w:rsidRDefault="00543CAF" w:rsidP="00543CAF">
      <w:r>
        <w:t>* 3.2 NVIDIA CPU/Core Allocation</w:t>
      </w:r>
    </w:p>
    <w:p w:rsidR="00543CAF" w:rsidRDefault="00543CAF" w:rsidP="00543CAF">
      <w:r>
        <w:t xml:space="preserve">   * </w:t>
      </w:r>
      <w:r>
        <w:rPr>
          <w:rFonts w:hint="eastAsia"/>
        </w:rPr>
        <w:t>Answer</w:t>
      </w:r>
      <w:r>
        <w:t>: The NVIDIA computing board provides 12 CPU cores in total. The onboard base system natively occupies 2 cores, leaving 10 cores fully available for user-defined algorithms and secondary development.</w:t>
      </w:r>
    </w:p>
    <w:p w:rsidR="00543CAF" w:rsidRDefault="00543CAF" w:rsidP="00543CAF">
      <w:r>
        <w:t>* 3.3 Sensor Topics &amp; Data Acquisition</w:t>
      </w:r>
    </w:p>
    <w:p w:rsidR="00543CAF" w:rsidRDefault="00543CAF" w:rsidP="00543CAF">
      <w:r>
        <w:t xml:space="preserve">   * </w:t>
      </w:r>
      <w:r>
        <w:rPr>
          <w:rFonts w:hint="eastAsia"/>
        </w:rPr>
        <w:t>Answer</w:t>
      </w:r>
      <w:r>
        <w:t>: There is currently no unified, out-of-the-box standard topic pipeline for all onboard sensors. Users will need to perform secondary development and driver integration individually for each sensor (cameras, LiDAR, IMU).</w:t>
      </w:r>
    </w:p>
    <w:p w:rsidR="00543CAF" w:rsidRDefault="00543CAF" w:rsidP="00543CAF">
      <w:pPr>
        <w:rPr>
          <w:rFonts w:hint="eastAsia"/>
        </w:rPr>
      </w:pPr>
    </w:p>
    <w:p w:rsidR="00543CAF" w:rsidRDefault="00543CAF" w:rsidP="00543CAF">
      <w:r>
        <w:lastRenderedPageBreak/>
        <w:t>* 3.4 Native Wi-Fi Configuration</w:t>
      </w:r>
    </w:p>
    <w:p w:rsidR="00543CAF" w:rsidRDefault="00543CAF" w:rsidP="00543CAF">
      <w:pPr>
        <w:rPr>
          <w:rFonts w:hint="eastAsia"/>
        </w:rPr>
      </w:pPr>
      <w:r>
        <w:t xml:space="preserve">   * </w:t>
      </w:r>
      <w:r>
        <w:rPr>
          <w:rFonts w:hint="eastAsia"/>
        </w:rPr>
        <w:t>Answer</w:t>
      </w:r>
      <w:r>
        <w:t>: The default onboard Wi-Fi SSID corresponds directly to the robot's Serial Number (SN / 机身编号). The default access password is: e12345678.</w:t>
      </w:r>
    </w:p>
    <w:p w:rsidR="00543CAF" w:rsidRDefault="00543CAF" w:rsidP="00543CAF">
      <w:r>
        <w:t>4. Support &amp; Workflow</w:t>
      </w:r>
    </w:p>
    <w:p w:rsidR="00543CAF" w:rsidRDefault="00543CAF" w:rsidP="00543CAF">
      <w:r>
        <w:t xml:space="preserve"> * 4.1 After-Sales Support &amp; Workflow</w:t>
      </w:r>
    </w:p>
    <w:p w:rsidR="00543CAF" w:rsidRDefault="00543CAF" w:rsidP="00543CAF">
      <w:pPr>
        <w:rPr>
          <w:rFonts w:hint="eastAsia"/>
        </w:rPr>
      </w:pPr>
      <w:r>
        <w:t xml:space="preserve">   * </w:t>
      </w:r>
      <w:r>
        <w:rPr>
          <w:rFonts w:hint="eastAsia"/>
        </w:rPr>
        <w:t>Answer</w:t>
      </w:r>
      <w:r>
        <w:t>: Formal documentation regarding standard communication channels, SLA response times, warranty terms, and escalation pathways is maintained directly by our After-Sales Department. We are coordinating with the support team and will deliver the complete document package to you shortly.</w:t>
      </w:r>
    </w:p>
    <w:sectPr w:rsidR="00543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CAF"/>
    <w:rsid w:val="00064AA3"/>
    <w:rsid w:val="0054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9662C"/>
  <w15:chartTrackingRefBased/>
  <w15:docId w15:val="{9F19BB4B-DC23-CC4E-B5B4-7ECFA7A0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3C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C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C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C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C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C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C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C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3C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3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3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3C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C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3C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3C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3C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3C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3C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3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C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3C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3C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3C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C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3C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3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2026-08-27T11:41:00Z</dcterms:created>
  <dcterms:modified xsi:type="dcterms:W3CDTF">2026-08-27T11:44:00Z</dcterms:modified>
</cp:coreProperties>
</file>