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25F7BBB">
      <w:pPr>
        <w:spacing w:before="480" w:after="480" w:line="288" w:lineRule="auto"/>
        <w:ind w:left="0"/>
        <w:rPr>
          <w:rFonts w:hint="eastAsia" w:eastAsia="等线"/>
          <w:lang w:eastAsia="zh-CN"/>
        </w:rPr>
      </w:pPr>
      <w:bookmarkStart w:id="1" w:name="_GoBack"/>
      <w:bookmarkEnd w:id="1"/>
      <w:r>
        <w:rPr>
          <w:rFonts w:hint="eastAsia" w:ascii="Times New Roman" w:hAnsi="Arial" w:eastAsia="微软雅黑" w:cs="Arial"/>
          <w:b/>
          <w:sz w:val="52"/>
          <w:szCs w:val="22"/>
          <w:lang w:eastAsia="zh-CN"/>
        </w:rPr>
        <w:t>Aplicação de Visualização</w:t>
      </w:r>
    </w:p>
    <w:p w14:paraId="21A0619A">
      <w:pPr>
        <w:spacing w:before="120" w:after="120" w:line="288" w:lineRule="auto"/>
        <w:ind w:left="0" w:firstLine="0"/>
        <w:jc w:val="left"/>
        <w:rPr>
          <w:rFonts w:hint="eastAsia" w:eastAsia="等线"/>
          <w:lang w:eastAsia="zh-CN"/>
        </w:rPr>
      </w:pPr>
      <w:r>
        <w:rPr>
          <w:rFonts w:hint="eastAsia" w:ascii="Times New Roman" w:hAnsi="Arial" w:eastAsia="微软雅黑" w:cs="Arial"/>
          <w:b/>
          <w:sz w:val="22"/>
          <w:szCs w:val="22"/>
          <w:lang w:eastAsia="zh-CN"/>
        </w:rPr>
        <w:t>Aplicação de Visualização</w:t>
      </w:r>
    </w:p>
    <w:p w14:paraId="40AA31D9">
      <w:pPr>
        <w:spacing w:before="380" w:after="140" w:line="288" w:lineRule="auto"/>
        <w:ind w:left="0"/>
        <w:jc w:val="left"/>
        <w:outlineLvl w:val="0"/>
        <w:rPr>
          <w:rFonts w:hint="eastAsia" w:eastAsia="等线"/>
          <w:lang w:eastAsia="zh-CN"/>
        </w:rPr>
      </w:pPr>
      <w:bookmarkStart w:id="0" w:name="heading_0"/>
      <w:r>
        <w:rPr>
          <w:rFonts w:hint="eastAsia" w:ascii="Times New Roman" w:hAnsi="Arial" w:eastAsia="微软雅黑" w:cs="Arial"/>
          <w:b/>
          <w:sz w:val="36"/>
          <w:szCs w:val="22"/>
          <w:lang w:eastAsia="zh-CN"/>
        </w:rPr>
        <w:t>Explicação</w:t>
      </w:r>
      <w:bookmarkEnd w:id="0"/>
    </w:p>
    <w:p w14:paraId="47C31515">
      <w:pPr>
        <w:spacing w:before="120" w:after="120" w:line="288" w:lineRule="auto"/>
        <w:ind w:left="0" w:firstLine="0"/>
        <w:jc w:val="left"/>
        <w:rPr>
          <w:rFonts w:hint="eastAsia" w:eastAsia="等线"/>
          <w:lang w:eastAsia="zh-CN"/>
        </w:rPr>
      </w:pPr>
      <w:r>
        <w:rPr>
          <w:rFonts w:hint="eastAsia" w:ascii="Times New Roman" w:hAnsi="Arial" w:eastAsia="微软雅黑" w:cs="Arial"/>
          <w:sz w:val="22"/>
          <w:szCs w:val="22"/>
          <w:lang w:eastAsia="zh-CN"/>
        </w:rPr>
        <w:t>As aplicações de visualização robótica são uma série de programas de visualização implementados pelo EngineAI na unidade de controle de aplicações robóticas, destinados a proporcionar aos usuários uma experiência de interação com robôs de alta qualidade.</w:t>
      </w:r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920"/>
        <w:gridCol w:w="2520"/>
        <w:gridCol w:w="3840"/>
      </w:tblGrid>
      <w:tr w14:paraId="58B452D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5585341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Nome da página</w:t>
            </w:r>
          </w:p>
        </w:tc>
        <w:tc>
          <w:tcPr>
            <w:tcW w:w="25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ED60493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Explicação</w:t>
            </w:r>
          </w:p>
        </w:tc>
        <w:tc>
          <w:tcPr>
            <w:tcW w:w="3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2C40687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Link</w:t>
            </w:r>
          </w:p>
        </w:tc>
      </w:tr>
      <w:tr w14:paraId="120BAC3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75030C2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Panelo principal</w:t>
            </w:r>
          </w:p>
        </w:tc>
        <w:tc>
          <w:tcPr>
            <w:tcW w:w="25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BFFB12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Ver e configurar informações e estado do robô</w:t>
            </w:r>
          </w:p>
        </w:tc>
        <w:tc>
          <w:tcPr>
            <w:tcW w:w="3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08B7535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http://192.168.0.162:9002/</w:t>
            </w:r>
          </w:p>
        </w:tc>
      </w:tr>
      <w:tr w14:paraId="64BFFC4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7DA87CF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Gerenciador de Nodos</w:t>
            </w:r>
          </w:p>
        </w:tc>
        <w:tc>
          <w:tcPr>
            <w:tcW w:w="25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8653658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ferramenta de gestão e operação de processos em nó</w:t>
            </w:r>
          </w:p>
        </w:tc>
        <w:tc>
          <w:tcPr>
            <w:tcW w:w="3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3F2F4A0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http://192.168.0.162:9001/</w:t>
            </w:r>
          </w:p>
        </w:tc>
      </w:tr>
      <w:tr w14:paraId="3DB1D17B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B7A6182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Web Visualization</w:t>
            </w:r>
          </w:p>
        </w:tc>
        <w:tc>
          <w:tcPr>
            <w:tcW w:w="25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5E69ABF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ferramenta integrada de visualização de robôs de código aberto</w:t>
            </w:r>
          </w:p>
        </w:tc>
        <w:tc>
          <w:tcPr>
            <w:tcW w:w="3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8057C2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http://192.168.0.162:9003/</w:t>
            </w:r>
          </w:p>
        </w:tc>
      </w:tr>
      <w:tr w14:paraId="5047C45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9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D5CD4DE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Web IDE</w:t>
            </w:r>
          </w:p>
        </w:tc>
        <w:tc>
          <w:tcPr>
            <w:tcW w:w="252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983E440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Ambiente integrado de desenvolvimento secundário</w:t>
            </w:r>
          </w:p>
        </w:tc>
        <w:tc>
          <w:tcPr>
            <w:tcW w:w="384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0BDB60E">
            <w:pPr>
              <w:spacing w:before="120" w:after="120" w:line="288" w:lineRule="auto"/>
              <w:ind w:left="0"/>
              <w:jc w:val="left"/>
              <w:rPr>
                <w:rFonts w:hint="eastAsia" w:eastAsia="等线"/>
                <w:lang w:eastAsia="zh-CN"/>
              </w:rPr>
            </w:pPr>
            <w:r>
              <w:rPr>
                <w:rFonts w:hint="eastAsia" w:ascii="Times New Roman" w:hAnsi="Arial" w:eastAsia="微软雅黑" w:cs="Arial"/>
                <w:sz w:val="22"/>
                <w:szCs w:val="22"/>
                <w:lang w:eastAsia="zh-CN"/>
              </w:rPr>
              <w:t>http://192.168.0.162:9004/</w:t>
            </w:r>
          </w:p>
        </w:tc>
      </w:tr>
    </w:tbl>
    <w:p w14:paraId="667EB415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69220AA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12EF577">
    <w:r>
      <w:pict>
        <v:shape id="PowerPlusWaterMarkObject1" o:spid="_x0000_s2049" o:spt="136" type="#_x0000_t136" style="position:absolute;left:0pt;height:24pt;width:120pt;mso-position-horizontal:center;mso-position-horizontal-relative:margin;mso-position-vertical:center;mso-position-vertical-relative:margin;rotation:20643840f;z-index:-251657216;mso-width-relative:page;mso-height-relative:page;" fillcolor="#000000" filled="t" stroked="f" coordsize="21600,21600">
          <v:path/>
          <v:fill on="t" opacity="19661f" focussize="0,0"/>
          <v:stroke on="f"/>
          <v:imagedata o:title=""/>
          <o:lock v:ext="edit"/>
          <v:textpath on="t" fitpath="t" trim="f" xscale="f" string=" 陈梦凡 0243" style="font-family:Lantinghei SC Demibold;font-size:20pt;v-text-align:center;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4"/>
  <w:documentProtection w:edit="readOnly" w:enforcement="0"/>
  <w:hdrShapeDefaults>
    <o:shapelayout v:ext="edit">
      <o:idmap v:ext="edit" data="2"/>
    </o:shapelayout>
  </w:hdrShapeDefaults>
  <w:compat>
    <w:useFELayout/>
    <w:splitPgBreakAndParaMark/>
    <w:compatSetting w:name="compatibilityMode" w:uri="http://schemas.microsoft.com/office/word" w:val="12"/>
  </w:compat>
  <w:rsids>
    <w:rsidRoot w:val="00000000"/>
    <w:rsid w:val="0A71303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1</Pages>
  <TotalTime>0</TotalTime>
  <ScaleCrop>false</ScaleCrop>
  <LinksUpToDate>false</LinksUpToDate>
  <Application>WPS Office_12.1.0.26895_F1E327BC-269C-435d-A152-05C5408002CA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2026-06-25T02:20:00Z</dcterms:created>
  <dc:creator>Apache POI</dc:creator>
  <cp:lastModifiedBy>dongmc</cp:lastModifiedBy>
  <dcterms:modified xsi:type="dcterms:W3CDTF">2026-06-25T11:59:59Z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eyJoZGlkIjoiYjQ2ZTkzOGI3N2FiOTljZjU1ZTljYjU3YTlmMWYwZGUiLCJ1c2VySWQiOiIyOTM2MzAwOTYifQ==</vt:lpwstr>
  </property>
  <property fmtid="{D5CDD505-2E9C-101B-9397-08002B2CF9AE}" pid="3" name="KSOProductBuildVer">
    <vt:lpwstr>2052-12.1.0.26895</vt:lpwstr>
  </property>
  <property fmtid="{D5CDD505-2E9C-101B-9397-08002B2CF9AE}" pid="4" name="ICV">
    <vt:lpwstr>ECA5F68B802F422392045A36A6E937E3_12</vt:lpwstr>
  </property>
</Properties>
</file>