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X9ae5b3cc86804c5cbb7f7737cf0c4731a6ed03d"/>
    <w:p>
      <w:pPr>
        <w:pStyle w:val="Heading1"/>
      </w:pPr>
      <w:r>
        <w:t xml:space="preserve">Ticket Writing Practice Tool for Tier 1 Help Desk</w:t>
      </w:r>
    </w:p>
    <w:bookmarkStart w:id="26" w:name="executive-summary"/>
    <w:p>
      <w:pPr>
        <w:pStyle w:val="Heading2"/>
      </w:pPr>
      <w:r>
        <w:t xml:space="preserve">Executive summary</w:t>
      </w:r>
    </w:p>
    <w:p>
      <w:pPr>
        <w:pStyle w:val="FirstParagraph"/>
      </w:pPr>
      <w:r>
        <w:t xml:space="preserve">You’re describing a real problem and a real opportunity:</w:t>
      </w:r>
      <w:r>
        <w:t xml:space="preserve"> </w:t>
      </w:r>
      <w:r>
        <w:rPr>
          <w:b/>
          <w:bCs/>
        </w:rPr>
        <w:t xml:space="preserve">people can often “solve” basic issues, but they struggle to document them in a way that’s clear, complete, and useful for escalation, reporting, and knowledge reuse</w:t>
      </w:r>
      <w:r>
        <w:t xml:space="preserve">. That gap shows up in both the job itself and in formal training.</w:t>
      </w:r>
    </w:p>
    <w:p>
      <w:pPr>
        <w:pStyle w:val="BodyText"/>
      </w:pPr>
      <w:r>
        <w:t xml:space="preserve">Ticket documentation is explicitly part of the help desk role. In the U.S. Bureau of Labor Statistics</w:t>
      </w:r>
      <w:hyperlink r:id="rId21">
        <w:r>
          <w:rPr>
            <w:rStyle w:val="Hyperlink"/>
          </w:rPr>
          <w:t xml:space="preserve">[1]</w:t>
        </w:r>
      </w:hyperlink>
      <w:r>
        <w:t xml:space="preserve"> </w:t>
      </w:r>
      <w:r>
        <w:t xml:space="preserve">description of computer user support specialists, duties include</w:t>
      </w:r>
      <w:r>
        <w:t xml:space="preserve"> </w:t>
      </w:r>
      <w:r>
        <w:rPr>
          <w:b/>
          <w:bCs/>
        </w:rPr>
        <w:t xml:space="preserve">documenting customers’ descriptions of their problems</w:t>
      </w:r>
      <w:r>
        <w:t xml:space="preserve">, and the role emphasizes</w:t>
      </w:r>
      <w:r>
        <w:t xml:space="preserve"> </w:t>
      </w:r>
      <w:r>
        <w:rPr>
          <w:b/>
          <w:bCs/>
        </w:rPr>
        <w:t xml:space="preserve">communication skills (spoken and written)</w:t>
      </w:r>
      <w:r>
        <w:t xml:space="preserve">. In 2024 there were about</w:t>
      </w:r>
      <w:r>
        <w:t xml:space="preserve"> </w:t>
      </w:r>
      <w:r>
        <w:rPr>
          <w:b/>
          <w:bCs/>
        </w:rPr>
        <w:t xml:space="preserve">729,500 computer user support specialist jobs</w:t>
      </w:r>
      <w:r>
        <w:t xml:space="preserve"> </w:t>
      </w:r>
      <w:r>
        <w:t xml:space="preserve">in the United States</w:t>
      </w:r>
      <w:hyperlink r:id="rId22">
        <w:r>
          <w:rPr>
            <w:rStyle w:val="Hyperlink"/>
          </w:rPr>
          <w:t xml:space="preserve">[2]</w:t>
        </w:r>
      </w:hyperlink>
      <w:r>
        <w:t xml:space="preserve">, with substantial annual openings even as projections shift over time.</w:t>
      </w:r>
      <w:r>
        <w:t xml:space="preserve"> </w:t>
      </w:r>
      <w:hyperlink r:id="rId23">
        <w:r>
          <w:rPr>
            <w:rStyle w:val="Hyperlink"/>
          </w:rPr>
          <w:t xml:space="preserve">[3]</w:t>
        </w:r>
      </w:hyperlink>
    </w:p>
    <w:p>
      <w:pPr>
        <w:pStyle w:val="BodyText"/>
      </w:pPr>
      <w:r>
        <w:t xml:space="preserve">Industry training sources explicitly call out documentation as a weak spot. In an HDI</w:t>
      </w:r>
      <w:hyperlink r:id="rId24">
        <w:r>
          <w:rPr>
            <w:rStyle w:val="Hyperlink"/>
          </w:rPr>
          <w:t xml:space="preserve">[4]</w:t>
        </w:r>
      </w:hyperlink>
      <w:r>
        <w:t xml:space="preserve"> </w:t>
      </w:r>
      <w:r>
        <w:t xml:space="preserve">training context, an instructor reported that</w:t>
      </w:r>
      <w:r>
        <w:t xml:space="preserve"> </w:t>
      </w:r>
      <w:r>
        <w:rPr>
          <w:b/>
          <w:bCs/>
        </w:rPr>
        <w:t xml:space="preserve">no one</w:t>
      </w:r>
      <w:r>
        <w:t xml:space="preserve"> </w:t>
      </w:r>
      <w:r>
        <w:t xml:space="preserve">in a class of ~40 support professionals could say every ticket gets documented “without fail,” and she explains how inconsistent documentation hurts reporting, staffing decisions, trending, and knowledge base creation.</w:t>
      </w:r>
      <w:r>
        <w:t xml:space="preserve"> </w:t>
      </w:r>
      <w:hyperlink r:id="rId21">
        <w:r>
          <w:rPr>
            <w:rStyle w:val="Hyperlink"/>
          </w:rPr>
          <w:t xml:space="preserve">[5]</w:t>
        </w:r>
      </w:hyperlink>
    </w:p>
    <w:p>
      <w:pPr>
        <w:pStyle w:val="BodyText"/>
      </w:pPr>
      <w:r>
        <w:t xml:space="preserve">There are many ways to</w:t>
      </w:r>
      <w:r>
        <w:t xml:space="preserve"> </w:t>
      </w:r>
      <w:r>
        <w:rPr>
          <w:b/>
          <w:bCs/>
        </w:rPr>
        <w:t xml:space="preserve">learn ticketing systems</w:t>
      </w:r>
      <w:r>
        <w:t xml:space="preserve"> </w:t>
      </w:r>
      <w:r>
        <w:t xml:space="preserve">(ServiceNow/Freshdesk/Zendesk courses, templates, and certifications), but far fewer ways to</w:t>
      </w:r>
      <w:r>
        <w:t xml:space="preserve"> </w:t>
      </w:r>
      <w:r>
        <w:rPr>
          <w:b/>
          <w:bCs/>
        </w:rPr>
        <w:t xml:space="preserve">practice ticket writing like a typing tutor</w:t>
      </w:r>
      <w:r>
        <w:t xml:space="preserve">: scenario → write ticket → get scored feedback → repeat. The closest proven formats today are (1)</w:t>
      </w:r>
      <w:r>
        <w:t xml:space="preserve"> </w:t>
      </w:r>
      <w:r>
        <w:rPr>
          <w:b/>
          <w:bCs/>
        </w:rPr>
        <w:t xml:space="preserve">hands-on simulated environments</w:t>
      </w:r>
      <w:r>
        <w:t xml:space="preserve"> </w:t>
      </w:r>
      <w:r>
        <w:t xml:space="preserve">like the Practical Help Desk Associate exam, which grades ticket work and documentation, and (2) knowledge methods like</w:t>
      </w:r>
      <w:r>
        <w:t xml:space="preserve"> </w:t>
      </w:r>
      <w:r>
        <w:rPr>
          <w:b/>
          <w:bCs/>
        </w:rPr>
        <w:t xml:space="preserve">KCS</w:t>
      </w:r>
      <w:r>
        <w:t xml:space="preserve"> </w:t>
      </w:r>
      <w:r>
        <w:t xml:space="preserve">(Knowledge-Centered Service), which teach capturing the user’s context and resolution as part of the workflow.</w:t>
      </w:r>
      <w:r>
        <w:t xml:space="preserve"> </w:t>
      </w:r>
      <w:hyperlink r:id="rId25">
        <w:r>
          <w:rPr>
            <w:rStyle w:val="Hyperlink"/>
          </w:rPr>
          <w:t xml:space="preserve">[6]</w:t>
        </w:r>
      </w:hyperlink>
    </w:p>
    <w:p>
      <w:pPr>
        <w:pStyle w:val="BodyText"/>
      </w:pPr>
      <w:r>
        <w:rPr>
          <w:b/>
          <w:bCs/>
        </w:rPr>
        <w:t xml:space="preserve">Is this needed?</w:t>
      </w:r>
      <w:r>
        <w:t xml:space="preserve"> </w:t>
      </w:r>
      <w:r>
        <w:t xml:space="preserve">Yes—there’s evidence it’s a core job skill and a repeated pain point in training.</w:t>
      </w:r>
      <w:r>
        <w:t xml:space="preserve"> </w:t>
      </w:r>
      <w:hyperlink r:id="rId23">
        <w:r>
          <w:rPr>
            <w:rStyle w:val="Hyperlink"/>
          </w:rPr>
          <w:t xml:space="preserve">[7]</w:t>
        </w:r>
      </w:hyperlink>
      <w:r>
        <w:br/>
      </w:r>
      <w:r>
        <w:rPr>
          <w:b/>
          <w:bCs/>
        </w:rPr>
        <w:t xml:space="preserve">What’s simpler to build first?</w:t>
      </w:r>
      <w:r>
        <w:t xml:space="preserve"> </w:t>
      </w:r>
      <w:r>
        <w:t xml:space="preserve">A</w:t>
      </w:r>
      <w:r>
        <w:t xml:space="preserve"> </w:t>
      </w:r>
      <w:r>
        <w:rPr>
          <w:b/>
          <w:bCs/>
        </w:rPr>
        <w:t xml:space="preserve">short, workbook-style reference</w:t>
      </w:r>
      <w:r>
        <w:t xml:space="preserve"> </w:t>
      </w:r>
      <w:r>
        <w:t xml:space="preserve">plus a simple scoring rubric is the fastest, lowest-cost MVP. Then, if people actually use it, you can turn the same content into a lightweight “ticket-writing tutor” app (even no-code at first).</w:t>
      </w:r>
      <w:r>
        <w:t xml:space="preserve"> </w:t>
      </w:r>
      <w:hyperlink r:id="rId24">
        <w:r>
          <w:rPr>
            <w:rStyle w:val="Hyperlink"/>
          </w:rPr>
          <w:t xml:space="preserve">[8]</w:t>
        </w:r>
      </w:hyperlink>
    </w:p>
    <w:bookmarkEnd w:id="26"/>
    <w:bookmarkStart w:id="30" w:name="why-the-skill-matters-in-tier-1-work"/>
    <w:p>
      <w:pPr>
        <w:pStyle w:val="Heading2"/>
      </w:pPr>
      <w:r>
        <w:t xml:space="preserve">Why the skill matters in Tier 1 work</w:t>
      </w:r>
    </w:p>
    <w:p>
      <w:pPr>
        <w:pStyle w:val="FirstParagraph"/>
      </w:pPr>
      <w:r>
        <w:t xml:space="preserve">Tier 1 often has three goals at once:</w:t>
      </w:r>
    </w:p>
    <w:p>
      <w:pPr>
        <w:pStyle w:val="BodyText"/>
      </w:pPr>
      <w:r>
        <w:t xml:space="preserve">1)</w:t>
      </w:r>
      <w:r>
        <w:t xml:space="preserve"> </w:t>
      </w:r>
      <w:r>
        <w:rPr>
          <w:b/>
          <w:bCs/>
        </w:rPr>
        <w:t xml:space="preserve">Help the user quickly</w:t>
      </w:r>
      <w:r>
        <w:t xml:space="preserve"> </w:t>
      </w:r>
      <w:r>
        <w:t xml:space="preserve">(basic troubleshooting, resets, simple fixes).</w:t>
      </w:r>
      <w:r>
        <w:t xml:space="preserve"> </w:t>
      </w:r>
      <w:hyperlink r:id="rId23">
        <w:r>
          <w:rPr>
            <w:rStyle w:val="Hyperlink"/>
          </w:rPr>
          <w:t xml:space="preserve">[9]</w:t>
        </w:r>
      </w:hyperlink>
      <w:r>
        <w:br/>
      </w:r>
      <w:r>
        <w:t xml:space="preserve">2)</w:t>
      </w:r>
      <w:r>
        <w:t xml:space="preserve"> </w:t>
      </w:r>
      <w:r>
        <w:rPr>
          <w:b/>
          <w:bCs/>
        </w:rPr>
        <w:t xml:space="preserve">Capture the right information</w:t>
      </w:r>
      <w:r>
        <w:t xml:space="preserve"> </w:t>
      </w:r>
      <w:r>
        <w:t xml:space="preserve">so the ticket can be routed, prioritized, and escalated without re-interviewing the user. (This is a major reason ticketing exists.)</w:t>
      </w:r>
      <w:r>
        <w:t xml:space="preserve"> </w:t>
      </w:r>
      <w:hyperlink r:id="rId22">
        <w:r>
          <w:rPr>
            <w:rStyle w:val="Hyperlink"/>
          </w:rPr>
          <w:t xml:space="preserve">[10]</w:t>
        </w:r>
      </w:hyperlink>
      <w:r>
        <w:br/>
      </w:r>
      <w:r>
        <w:t xml:space="preserve">3)</w:t>
      </w:r>
      <w:r>
        <w:t xml:space="preserve"> </w:t>
      </w:r>
      <w:r>
        <w:rPr>
          <w:b/>
          <w:bCs/>
        </w:rPr>
        <w:t xml:space="preserve">Create reusable knowledge</w:t>
      </w:r>
      <w:r>
        <w:t xml:space="preserve"> </w:t>
      </w:r>
      <w:r>
        <w:t xml:space="preserve">so the next agent (or the user via self-service) can resolve faster next time.</w:t>
      </w:r>
      <w:r>
        <w:t xml:space="preserve"> </w:t>
      </w:r>
      <w:hyperlink r:id="rId27">
        <w:r>
          <w:rPr>
            <w:rStyle w:val="Hyperlink"/>
          </w:rPr>
          <w:t xml:space="preserve">[11]</w:t>
        </w:r>
      </w:hyperlink>
    </w:p>
    <w:p>
      <w:pPr>
        <w:pStyle w:val="BodyText"/>
      </w:pPr>
      <w:r>
        <w:t xml:space="preserve">A practical way to think about it:</w:t>
      </w:r>
    </w:p>
    <w:p>
      <w:pPr>
        <w:pStyle w:val="Compact"/>
        <w:numPr>
          <w:ilvl w:val="0"/>
          <w:numId w:val="1001"/>
        </w:numPr>
      </w:pPr>
      <w:r>
        <w:t xml:space="preserve">A good Tier 1 ticket is a</w:t>
      </w:r>
      <w:r>
        <w:t xml:space="preserve"> </w:t>
      </w:r>
      <w:r>
        <w:rPr>
          <w:b/>
          <w:bCs/>
        </w:rPr>
        <w:t xml:space="preserve">handoff document</w:t>
      </w:r>
      <w:r>
        <w:t xml:space="preserve"> </w:t>
      </w:r>
      <w:r>
        <w:t xml:space="preserve">(to Tier 2/desktop/network) and a</w:t>
      </w:r>
      <w:r>
        <w:t xml:space="preserve"> </w:t>
      </w:r>
      <w:r>
        <w:rPr>
          <w:b/>
          <w:bCs/>
        </w:rPr>
        <w:t xml:space="preserve">data record</w:t>
      </w:r>
      <w:r>
        <w:t xml:space="preserve"> </w:t>
      </w:r>
      <w:r>
        <w:t xml:space="preserve">(for trends, staffing, SLAs, auditing).</w:t>
      </w:r>
      <w:r>
        <w:t xml:space="preserve"> </w:t>
      </w:r>
      <w:hyperlink r:id="rId21">
        <w:r>
          <w:rPr>
            <w:rStyle w:val="Hyperlink"/>
          </w:rPr>
          <w:t xml:space="preserve">[12]</w:t>
        </w:r>
      </w:hyperlink>
    </w:p>
    <w:p>
      <w:pPr>
        <w:pStyle w:val="Compact"/>
        <w:numPr>
          <w:ilvl w:val="0"/>
          <w:numId w:val="1001"/>
        </w:numPr>
      </w:pPr>
      <w:r>
        <w:t xml:space="preserve">When ticket notes are weak, teams lose time to back-and-forth and rework. A support-ticket writing guide summarizes this directly: a poorly written ticket can cause misunderstandings and delays, while a clear ticket speeds diagnosis and resolution.</w:t>
      </w:r>
      <w:r>
        <w:t xml:space="preserve"> </w:t>
      </w:r>
      <w:hyperlink r:id="rId28">
        <w:r>
          <w:rPr>
            <w:rStyle w:val="Hyperlink"/>
          </w:rPr>
          <w:t xml:space="preserve">[13]</w:t>
        </w:r>
      </w:hyperlink>
    </w:p>
    <w:p>
      <w:pPr>
        <w:pStyle w:val="FirstParagraph"/>
      </w:pPr>
      <w:r>
        <w:t xml:space="preserve">This is also reflected in occupational definitions. entity["organization","O</w:t>
      </w:r>
      <w:r>
        <w:rPr>
          <w:i/>
          <w:iCs/>
        </w:rPr>
        <w:t xml:space="preserve">NET OnLine","us labor occupation database"] lists tasks such as</w:t>
      </w:r>
      <w:r>
        <w:t xml:space="preserve"> </w:t>
      </w:r>
      <w:r>
        <w:rPr>
          <w:i/>
          <w:iCs/>
        </w:rPr>
        <w:t xml:space="preserve">maintaining records of problems and remedial actions</w:t>
      </w:r>
      <w:r>
        <w:t xml:space="preserve">* for computer user support specialists—documentation isn’t optional busywork; it’s part of the job.</w:t>
      </w:r>
      <w:r>
        <w:t xml:space="preserve"> </w:t>
      </w:r>
      <w:hyperlink r:id="rId29">
        <w:r>
          <w:rPr>
            <w:rStyle w:val="Hyperlink"/>
          </w:rPr>
          <w:t xml:space="preserve">[14]</w:t>
        </w:r>
      </w:hyperlink>
    </w:p>
    <w:bookmarkEnd w:id="30"/>
    <w:bookmarkStart w:id="39" w:name="what-exists-today-and-where-the-gap-is"/>
    <w:p>
      <w:pPr>
        <w:pStyle w:val="Heading2"/>
      </w:pPr>
      <w:r>
        <w:t xml:space="preserve">What exists today and where the gap is</w:t>
      </w:r>
    </w:p>
    <w:p>
      <w:pPr>
        <w:pStyle w:val="FirstParagraph"/>
      </w:pPr>
      <w:r>
        <w:t xml:space="preserve">Most “learn help desk” resources focus on either (a) the tool (how to click and route tickets) or (b) broad service desk skills (customer service, troubleshooting). Your idea focuses on a narrower—and very teachable—micro-skill:</w:t>
      </w:r>
      <w:r>
        <w:t xml:space="preserve"> </w:t>
      </w:r>
      <w:r>
        <w:rPr>
          <w:b/>
          <w:bCs/>
        </w:rPr>
        <w:t xml:space="preserve">writing the ticket well</w:t>
      </w:r>
      <w:r>
        <w:t xml:space="preserve">.</w:t>
      </w:r>
    </w:p>
    <w:bookmarkStart w:id="37" w:name="X115b2c7f31af238f38a2a034f2251791a9c476f"/>
    <w:p>
      <w:pPr>
        <w:pStyle w:val="Heading3"/>
      </w:pPr>
      <w:r>
        <w:t xml:space="preserve">Existing options that partially cover your use case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What it teaches well</w:t>
            </w:r>
          </w:p>
        </w:tc>
        <w:tc>
          <w:tcPr/>
          <w:p>
            <w:pPr>
              <w:pStyle w:val="Compact"/>
            </w:pPr>
            <w:r>
              <w:t xml:space="preserve">Where it falls short for “ticket-writing tutor” practice</w:t>
            </w:r>
          </w:p>
        </w:tc>
      </w:tr>
      <w:tr>
        <w:tc>
          <w:tcPr/>
          <w:p>
            <w:pPr>
              <w:pStyle w:val="Compact"/>
            </w:pPr>
            <w:r>
              <w:t xml:space="preserve">Real ticket systems + sandboxes (practice in a real form)</w:t>
            </w:r>
          </w:p>
        </w:tc>
        <w:tc>
          <w:tcPr/>
          <w:p>
            <w:pPr>
              <w:pStyle w:val="Compact"/>
            </w:pPr>
            <w:r>
              <w:t xml:space="preserve">You can practice entering incidents/requests in realistic fields. A common example is a free personal developer instance from ServiceNow</w:t>
            </w:r>
            <w:hyperlink r:id="rId21">
              <w:r>
                <w:rPr>
                  <w:rStyle w:val="Hyperlink"/>
                </w:rPr>
                <w:t xml:space="preserve">[15]</w:t>
              </w:r>
            </w:hyperlink>
            <w:r>
              <w:t xml:space="preserve"> </w:t>
            </w:r>
            <w:r>
              <w:t xml:space="preserve">(a sandbox intended for learning/experimentation).</w:t>
            </w:r>
            <w:r>
              <w:t xml:space="preserve"> </w:t>
            </w:r>
            <w:hyperlink r:id="rId31">
              <w:r>
                <w:rPr>
                  <w:rStyle w:val="Hyperlink"/>
                </w:rPr>
                <w:t xml:space="preserve">[16]</w:t>
              </w:r>
            </w:hyperlink>
          </w:p>
        </w:tc>
        <w:tc>
          <w:tcPr/>
          <w:p>
            <w:pPr>
              <w:pStyle w:val="Compact"/>
            </w:pPr>
            <w:r>
              <w:t xml:space="preserve">You usually don’t get</w:t>
            </w:r>
            <w:r>
              <w:t xml:space="preserve"> </w:t>
            </w:r>
            <w:r>
              <w:rPr>
                <w:b/>
                <w:bCs/>
              </w:rPr>
              <w:t xml:space="preserve">scored feedback</w:t>
            </w:r>
            <w:r>
              <w:t xml:space="preserve"> </w:t>
            </w:r>
            <w:r>
              <w:t xml:space="preserve">on writing quality, and the scenarios aren’t built-in.</w:t>
            </w:r>
            <w:r>
              <w:t xml:space="preserve"> </w:t>
            </w:r>
            <w:hyperlink r:id="rId31">
              <w:r>
                <w:rPr>
                  <w:rStyle w:val="Hyperlink"/>
                </w:rPr>
                <w:t xml:space="preserve">[16]</w:t>
              </w:r>
            </w:hyperlink>
          </w:p>
        </w:tc>
      </w:tr>
      <w:tr>
        <w:tc>
          <w:tcPr/>
          <w:p>
            <w:pPr>
              <w:pStyle w:val="Compact"/>
            </w:pPr>
            <w:r>
              <w:t xml:space="preserve">Vendor training courses (Freshdesk/Zendesk/etc.)</w:t>
            </w:r>
          </w:p>
        </w:tc>
        <w:tc>
          <w:tcPr/>
          <w:p>
            <w:pPr>
              <w:pStyle w:val="Compact"/>
            </w:pPr>
            <w:r>
              <w:t xml:space="preserve">Courses teach fundamentals like ticket properties, templates, and knowledge base usage (for example, Freshworks</w:t>
            </w:r>
            <w:hyperlink r:id="rId22">
              <w:r>
                <w:rPr>
                  <w:rStyle w:val="Hyperlink"/>
                </w:rPr>
                <w:t xml:space="preserve">[17]</w:t>
              </w:r>
            </w:hyperlink>
            <w:r>
              <w:t xml:space="preserve"> </w:t>
            </w:r>
            <w:r>
              <w:t xml:space="preserve">University includes ticketing basics and templates).</w:t>
            </w:r>
            <w:r>
              <w:t xml:space="preserve"> </w:t>
            </w:r>
            <w:hyperlink r:id="rId32">
              <w:r>
                <w:rPr>
                  <w:rStyle w:val="Hyperlink"/>
                </w:rPr>
                <w:t xml:space="preserve">[18]</w:t>
              </w:r>
            </w:hyperlink>
          </w:p>
        </w:tc>
        <w:tc>
          <w:tcPr/>
          <w:p>
            <w:pPr>
              <w:pStyle w:val="Compact"/>
            </w:pPr>
            <w:r>
              <w:t xml:space="preserve">Usually focuses on operating the platform, not repeated writing drills with grading.</w:t>
            </w:r>
            <w:r>
              <w:t xml:space="preserve"> </w:t>
            </w:r>
            <w:hyperlink r:id="rId32">
              <w:r>
                <w:rPr>
                  <w:rStyle w:val="Hyperlink"/>
                </w:rPr>
                <w:t xml:space="preserve">[18]</w:t>
              </w:r>
            </w:hyperlink>
          </w:p>
        </w:tc>
      </w:tr>
      <w:tr>
        <w:tc>
          <w:tcPr/>
          <w:p>
            <w:pPr>
              <w:pStyle w:val="Compact"/>
            </w:pPr>
            <w:r>
              <w:t xml:space="preserve">Templates/macros inside ticketing tools</w:t>
            </w:r>
          </w:p>
        </w:tc>
        <w:tc>
          <w:tcPr/>
          <w:p>
            <w:pPr>
              <w:pStyle w:val="Compact"/>
            </w:pPr>
            <w:r>
              <w:t xml:space="preserve">Templates speed consistency. Zendesk and Freshdesk both publish examples and support template features.</w:t>
            </w:r>
            <w:r>
              <w:t xml:space="preserve"> </w:t>
            </w:r>
            <w:hyperlink r:id="rId33">
              <w:r>
                <w:rPr>
                  <w:rStyle w:val="Hyperlink"/>
                </w:rPr>
                <w:t xml:space="preserve">[19]</w:t>
              </w:r>
            </w:hyperlink>
          </w:p>
        </w:tc>
        <w:tc>
          <w:tcPr/>
          <w:p>
            <w:pPr>
              <w:pStyle w:val="Compact"/>
            </w:pPr>
            <w:r>
              <w:t xml:space="preserve">Templates help you send common replies; they don’t teach new agents</w:t>
            </w:r>
            <w:r>
              <w:t xml:space="preserve"> </w:t>
            </w:r>
            <w:r>
              <w:rPr>
                <w:b/>
                <w:bCs/>
              </w:rPr>
              <w:t xml:space="preserve">how to think and capture context</w:t>
            </w:r>
            <w:r>
              <w:t xml:space="preserve">.</w:t>
            </w:r>
            <w:r>
              <w:t xml:space="preserve"> </w:t>
            </w:r>
            <w:hyperlink r:id="rId33">
              <w:r>
                <w:rPr>
                  <w:rStyle w:val="Hyperlink"/>
                </w:rPr>
                <w:t xml:space="preserve">[19]</w:t>
              </w:r>
            </w:hyperlink>
          </w:p>
        </w:tc>
      </w:tr>
      <w:tr>
        <w:tc>
          <w:tcPr/>
          <w:p>
            <w:pPr>
              <w:pStyle w:val="Compact"/>
            </w:pPr>
            <w:r>
              <w:t xml:space="preserve">Formal training/certifications</w:t>
            </w:r>
          </w:p>
        </w:tc>
        <w:tc>
          <w:tcPr/>
          <w:p>
            <w:pPr>
              <w:pStyle w:val="Compact"/>
            </w:pPr>
            <w:r>
              <w:t xml:space="preserve">Certifications explicitly cover incident handling, communication, and incident management (for example, Service Desk Institute</w:t>
            </w:r>
            <w:hyperlink r:id="rId34">
              <w:r>
                <w:rPr>
                  <w:rStyle w:val="Hyperlink"/>
                </w:rPr>
                <w:t xml:space="preserve">[20]</w:t>
              </w:r>
            </w:hyperlink>
            <w:r>
              <w:t xml:space="preserve"> </w:t>
            </w:r>
            <w:r>
              <w:t xml:space="preserve">and HDI programs).</w:t>
            </w:r>
            <w:r>
              <w:t xml:space="preserve"> </w:t>
            </w:r>
            <w:hyperlink r:id="rId35">
              <w:r>
                <w:rPr>
                  <w:rStyle w:val="Hyperlink"/>
                </w:rPr>
                <w:t xml:space="preserve">[21]</w:t>
              </w:r>
            </w:hyperlink>
          </w:p>
        </w:tc>
        <w:tc>
          <w:tcPr/>
          <w:p>
            <w:pPr>
              <w:pStyle w:val="Compact"/>
            </w:pPr>
            <w:r>
              <w:t xml:space="preserve">Training is often time-boxed and expensive; it may not provide high-volume, self-paced practice writing tickets.</w:t>
            </w:r>
            <w:r>
              <w:t xml:space="preserve"> </w:t>
            </w:r>
            <w:hyperlink r:id="rId34">
              <w:r>
                <w:rPr>
                  <w:rStyle w:val="Hyperlink"/>
                </w:rPr>
                <w:t xml:space="preserve">[22]</w:t>
              </w:r>
            </w:hyperlink>
          </w:p>
        </w:tc>
      </w:tr>
      <w:tr>
        <w:tc>
          <w:tcPr/>
          <w:p>
            <w:pPr>
              <w:pStyle w:val="Compact"/>
            </w:pPr>
            <w:r>
              <w:t xml:space="preserve">Practical simulated assessments</w:t>
            </w:r>
          </w:p>
        </w:tc>
        <w:tc>
          <w:tcPr/>
          <w:p>
            <w:pPr>
              <w:pStyle w:val="Compact"/>
            </w:pPr>
            <w:r>
              <w:t xml:space="preserve">TCM Security</w:t>
            </w:r>
            <w:hyperlink r:id="rId21">
              <w:r>
                <w:rPr>
                  <w:rStyle w:val="Hyperlink"/>
                </w:rPr>
                <w:t xml:space="preserve">[23]</w:t>
              </w:r>
            </w:hyperlink>
            <w:r>
              <w:t xml:space="preserve">’s Practical Help Desk Associate exam places students in a ticketing system and grades them on ticket completion and documentation quality.</w:t>
            </w:r>
            <w:r>
              <w:t xml:space="preserve"> </w:t>
            </w:r>
            <w:hyperlink r:id="rId25">
              <w:r>
                <w:rPr>
                  <w:rStyle w:val="Hyperlink"/>
                </w:rPr>
                <w:t xml:space="preserve">[24]</w:t>
              </w:r>
            </w:hyperlink>
          </w:p>
        </w:tc>
        <w:tc>
          <w:tcPr/>
          <w:p>
            <w:pPr>
              <w:pStyle w:val="Compact"/>
            </w:pPr>
            <w:r>
              <w:t xml:space="preserve">It’s an exam/training bundle, not a lightweight “daily practice” tutor tool.</w:t>
            </w:r>
            <w:r>
              <w:t xml:space="preserve"> </w:t>
            </w:r>
            <w:hyperlink r:id="rId25">
              <w:r>
                <w:rPr>
                  <w:rStyle w:val="Hyperlink"/>
                </w:rPr>
                <w:t xml:space="preserve">[24]</w:t>
              </w:r>
            </w:hyperlink>
          </w:p>
        </w:tc>
      </w:tr>
      <w:tr>
        <w:tc>
          <w:tcPr/>
          <w:p>
            <w:pPr>
              <w:pStyle w:val="Compact"/>
            </w:pPr>
            <w:r>
              <w:t xml:space="preserve">ITSM simulation games</w:t>
            </w:r>
          </w:p>
        </w:tc>
        <w:tc>
          <w:tcPr/>
          <w:p>
            <w:pPr>
              <w:pStyle w:val="Compact"/>
            </w:pPr>
            <w:r>
              <w:t xml:space="preserve">Companies (e.g., GamingWorks</w:t>
            </w:r>
            <w:hyperlink r:id="rId24">
              <w:r>
                <w:rPr>
                  <w:rStyle w:val="Hyperlink"/>
                </w:rPr>
                <w:t xml:space="preserve">[25]</w:t>
              </w:r>
            </w:hyperlink>
            <w:r>
              <w:t xml:space="preserve">) offer ITSM simulation experiences such as “Apollo 13” to teach process thinking under pressure.</w:t>
            </w:r>
            <w:r>
              <w:t xml:space="preserve"> </w:t>
            </w:r>
            <w:hyperlink r:id="rId36">
              <w:r>
                <w:rPr>
                  <w:rStyle w:val="Hyperlink"/>
                </w:rPr>
                <w:t xml:space="preserve">[26]</w:t>
              </w:r>
            </w:hyperlink>
          </w:p>
        </w:tc>
        <w:tc>
          <w:tcPr/>
          <w:p>
            <w:pPr>
              <w:pStyle w:val="Compact"/>
            </w:pPr>
            <w:r>
              <w:t xml:space="preserve">These are process simulations, not specifically ticket-writing drills with feedback on field-by-field quality.</w:t>
            </w:r>
            <w:r>
              <w:t xml:space="preserve"> </w:t>
            </w:r>
            <w:hyperlink r:id="rId36">
              <w:r>
                <w:rPr>
                  <w:rStyle w:val="Hyperlink"/>
                </w:rPr>
                <w:t xml:space="preserve">[27]</w:t>
              </w:r>
            </w:hyperlink>
          </w:p>
        </w:tc>
      </w:tr>
    </w:tbl>
    <w:bookmarkEnd w:id="37"/>
    <w:bookmarkStart w:id="38" w:name="the-gap-your-idea-targets"/>
    <w:p>
      <w:pPr>
        <w:pStyle w:val="Heading3"/>
      </w:pPr>
      <w:r>
        <w:t xml:space="preserve">The gap your idea targets</w:t>
      </w:r>
    </w:p>
    <w:p>
      <w:pPr>
        <w:pStyle w:val="FirstParagraph"/>
      </w:pPr>
      <w:r>
        <w:t xml:space="preserve">Across the landscape, what’s rare is a product that is:</w:t>
      </w:r>
    </w:p>
    <w:p>
      <w:pPr>
        <w:pStyle w:val="Compact"/>
        <w:numPr>
          <w:ilvl w:val="0"/>
          <w:numId w:val="1002"/>
        </w:numPr>
      </w:pPr>
      <w:r>
        <w:rPr>
          <w:b/>
          <w:bCs/>
        </w:rPr>
        <w:t xml:space="preserve">Scenario-driven</w:t>
      </w:r>
      <w:r>
        <w:t xml:space="preserve"> </w:t>
      </w:r>
      <w:r>
        <w:t xml:space="preserve">(like typing drills),</w:t>
      </w:r>
    </w:p>
    <w:p>
      <w:pPr>
        <w:pStyle w:val="Compact"/>
        <w:numPr>
          <w:ilvl w:val="0"/>
          <w:numId w:val="1002"/>
        </w:numPr>
      </w:pPr>
      <w:r>
        <w:rPr>
          <w:b/>
          <w:bCs/>
        </w:rPr>
        <w:t xml:space="preserve">Field-structured</w:t>
      </w:r>
      <w:r>
        <w:t xml:space="preserve"> </w:t>
      </w:r>
      <w:r>
        <w:t xml:space="preserve">(like a real incident/request form), and</w:t>
      </w:r>
    </w:p>
    <w:p>
      <w:pPr>
        <w:pStyle w:val="Compact"/>
        <w:numPr>
          <w:ilvl w:val="0"/>
          <w:numId w:val="1002"/>
        </w:numPr>
      </w:pPr>
      <w:r>
        <w:rPr>
          <w:b/>
          <w:bCs/>
        </w:rPr>
        <w:t xml:space="preserve">Scored</w:t>
      </w:r>
      <w:r>
        <w:t xml:space="preserve"> </w:t>
      </w:r>
      <w:r>
        <w:t xml:space="preserve">with a repeatable rubric (so trainees can measure improvement).</w:t>
      </w:r>
      <w:r>
        <w:t xml:space="preserve"> </w:t>
      </w:r>
      <w:hyperlink r:id="rId24">
        <w:r>
          <w:rPr>
            <w:rStyle w:val="Hyperlink"/>
          </w:rPr>
          <w:t xml:space="preserve">[28]</w:t>
        </w:r>
      </w:hyperlink>
    </w:p>
    <w:p>
      <w:pPr>
        <w:pStyle w:val="FirstParagraph"/>
      </w:pPr>
      <w:r>
        <w:t xml:space="preserve">That gap lines up with what you observe when training agents, and it matches what industry trainers report: documentation is inconsistent and often deprioritized, even though it drives reporting, staffing justification, and knowledge creation.</w:t>
      </w:r>
      <w:r>
        <w:t xml:space="preserve"> </w:t>
      </w:r>
      <w:hyperlink r:id="rId21">
        <w:r>
          <w:rPr>
            <w:rStyle w:val="Hyperlink"/>
          </w:rPr>
          <w:t xml:space="preserve">[12]</w:t>
        </w:r>
      </w:hyperlink>
    </w:p>
    <w:bookmarkEnd w:id="38"/>
    <w:bookmarkEnd w:id="39"/>
    <w:bookmarkStart w:id="48" w:name="X64d0ab66ad4b76f9f8439377694b0556f58df88"/>
    <w:p>
      <w:pPr>
        <w:pStyle w:val="Heading2"/>
      </w:pPr>
      <w:r>
        <w:t xml:space="preserve">What to build and how to keep it easy to understand</w:t>
      </w:r>
    </w:p>
    <w:p>
      <w:pPr>
        <w:pStyle w:val="FirstParagraph"/>
      </w:pPr>
      <w:r>
        <w:t xml:space="preserve">You asked two key product questions:</w:t>
      </w:r>
    </w:p>
    <w:p>
      <w:pPr>
        <w:pStyle w:val="Compact"/>
        <w:numPr>
          <w:ilvl w:val="0"/>
          <w:numId w:val="1003"/>
        </w:numPr>
      </w:pPr>
      <w:r>
        <w:t xml:space="preserve">“Is there already a utility tool for help desk skills like typing tutors?”</w:t>
      </w:r>
    </w:p>
    <w:p>
      <w:pPr>
        <w:pStyle w:val="Compact"/>
        <w:numPr>
          <w:ilvl w:val="0"/>
          <w:numId w:val="1003"/>
        </w:numPr>
      </w:pPr>
      <w:r>
        <w:t xml:space="preserve">“Would it be simpler to make an app or a short reference book/workbook, especially since I’m not great at writing?”</w:t>
      </w:r>
    </w:p>
    <w:bookmarkStart w:id="40" w:name="the-simplest-useful-product-concept"/>
    <w:p>
      <w:pPr>
        <w:pStyle w:val="Heading3"/>
      </w:pPr>
      <w:r>
        <w:t xml:space="preserve">The simplest useful product concept</w:t>
      </w:r>
    </w:p>
    <w:p>
      <w:pPr>
        <w:pStyle w:val="FirstParagraph"/>
      </w:pPr>
      <w:r>
        <w:t xml:space="preserve">A “ticket-writing tutor” doesn’t need to be complicated. At minimum, it needs:</w:t>
      </w:r>
    </w:p>
    <w:p>
      <w:pPr>
        <w:pStyle w:val="BodyText"/>
      </w:pPr>
      <w:r>
        <w:t xml:space="preserve">1)</w:t>
      </w:r>
      <w:r>
        <w:t xml:space="preserve"> </w:t>
      </w:r>
      <w:r>
        <w:rPr>
          <w:b/>
          <w:bCs/>
        </w:rPr>
        <w:t xml:space="preserve">A consistent ticket format</w:t>
      </w:r>
      <w:r>
        <w:t xml:space="preserve"> </w:t>
      </w:r>
      <w:r>
        <w:t xml:space="preserve">(what info goes where).</w:t>
      </w:r>
      <w:r>
        <w:t xml:space="preserve"> </w:t>
      </w:r>
      <w:hyperlink r:id="rId22">
        <w:r>
          <w:rPr>
            <w:rStyle w:val="Hyperlink"/>
          </w:rPr>
          <w:t xml:space="preserve">[29]</w:t>
        </w:r>
      </w:hyperlink>
      <w:r>
        <w:br/>
      </w:r>
      <w:r>
        <w:t xml:space="preserve">2)</w:t>
      </w:r>
      <w:r>
        <w:t xml:space="preserve"> </w:t>
      </w:r>
      <w:r>
        <w:rPr>
          <w:b/>
          <w:bCs/>
        </w:rPr>
        <w:t xml:space="preserve">A checklist/rubric</w:t>
      </w:r>
      <w:r>
        <w:t xml:space="preserve"> </w:t>
      </w:r>
      <w:r>
        <w:t xml:space="preserve">(what “good” looks like).</w:t>
      </w:r>
      <w:r>
        <w:t xml:space="preserve"> </w:t>
      </w:r>
      <w:hyperlink r:id="rId24">
        <w:r>
          <w:rPr>
            <w:rStyle w:val="Hyperlink"/>
          </w:rPr>
          <w:t xml:space="preserve">[30]</w:t>
        </w:r>
      </w:hyperlink>
      <w:r>
        <w:br/>
      </w:r>
      <w:r>
        <w:t xml:space="preserve">3)</w:t>
      </w:r>
      <w:r>
        <w:t xml:space="preserve"> </w:t>
      </w:r>
      <w:r>
        <w:rPr>
          <w:b/>
          <w:bCs/>
        </w:rPr>
        <w:t xml:space="preserve">Practice scenarios</w:t>
      </w:r>
      <w:r>
        <w:t xml:space="preserve"> </w:t>
      </w:r>
      <w:r>
        <w:t xml:space="preserve">(so users can repeat the skill).</w:t>
      </w:r>
      <w:r>
        <w:t xml:space="preserve"> </w:t>
      </w:r>
      <w:hyperlink r:id="rId25">
        <w:r>
          <w:rPr>
            <w:rStyle w:val="Hyperlink"/>
          </w:rPr>
          <w:t xml:space="preserve">[24]</w:t>
        </w:r>
      </w:hyperlink>
      <w:r>
        <w:br/>
      </w:r>
      <w:r>
        <w:t xml:space="preserve">4)</w:t>
      </w:r>
      <w:r>
        <w:t xml:space="preserve"> </w:t>
      </w:r>
      <w:r>
        <w:rPr>
          <w:b/>
          <w:bCs/>
        </w:rPr>
        <w:t xml:space="preserve">Feedback</w:t>
      </w:r>
      <w:r>
        <w:t xml:space="preserve"> </w:t>
      </w:r>
      <w:r>
        <w:t xml:space="preserve">(scoring + model answer).</w:t>
      </w:r>
      <w:r>
        <w:t xml:space="preserve"> </w:t>
      </w:r>
      <w:hyperlink r:id="rId24">
        <w:r>
          <w:rPr>
            <w:rStyle w:val="Hyperlink"/>
          </w:rPr>
          <w:t xml:space="preserve">[31]</w:t>
        </w:r>
      </w:hyperlink>
    </w:p>
    <w:p>
      <w:pPr>
        <w:pStyle w:val="BodyText"/>
      </w:pPr>
      <w:r>
        <w:t xml:space="preserve">A strong foundation for this is the KCS idea of capturing the requestor’s experience and context. The KCS Practices Guide explicitly emphasizes capturing the requestor’s perception and environment, and it notes that</w:t>
      </w:r>
      <w:r>
        <w:t xml:space="preserve"> </w:t>
      </w:r>
      <w:r>
        <w:rPr>
          <w:b/>
          <w:bCs/>
        </w:rPr>
        <w:t xml:space="preserve">technical accuracy in the initial problem statement isn’t required</w:t>
      </w:r>
      <w:r>
        <w:t xml:space="preserve">, but accuracy matters in environment/resolution/cause. That is perfect for Tier 1 writing and for trainees who don’t feel confident with “technical writing.”</w:t>
      </w:r>
      <w:r>
        <w:t xml:space="preserve"> </w:t>
      </w:r>
      <w:hyperlink r:id="rId27">
        <w:r>
          <w:rPr>
            <w:rStyle w:val="Hyperlink"/>
          </w:rPr>
          <w:t xml:space="preserve">[32]</w:t>
        </w:r>
      </w:hyperlink>
    </w:p>
    <w:bookmarkEnd w:id="40"/>
    <w:bookmarkStart w:id="43" w:name="X69fe0ad5c546ec1729d7f1e716a9881e03dfaf4"/>
    <w:p>
      <w:pPr>
        <w:pStyle w:val="Heading3"/>
      </w:pPr>
      <w:r>
        <w:t xml:space="preserve">Core ticket types your tool should teach (plain English)</w:t>
      </w:r>
    </w:p>
    <w:p>
      <w:pPr>
        <w:pStyle w:val="FirstParagraph"/>
      </w:pPr>
      <w:r>
        <w:t xml:space="preserve">Even without a specific employer’s process, these categories appear widely:</w:t>
      </w:r>
    </w:p>
    <w:p>
      <w:pPr>
        <w:pStyle w:val="Compact"/>
        <w:numPr>
          <w:ilvl w:val="0"/>
          <w:numId w:val="1004"/>
        </w:numPr>
      </w:pPr>
      <w:r>
        <w:rPr>
          <w:b/>
          <w:bCs/>
        </w:rPr>
        <w:t xml:space="preserve">Incident</w:t>
      </w:r>
      <w:r>
        <w:t xml:space="preserve">: something unexpected is broken or degraded and needs service restored quickly.</w:t>
      </w:r>
      <w:r>
        <w:t xml:space="preserve"> </w:t>
      </w:r>
      <w:hyperlink r:id="rId22">
        <w:r>
          <w:rPr>
            <w:rStyle w:val="Hyperlink"/>
          </w:rPr>
          <w:t xml:space="preserve">[33]</w:t>
        </w:r>
      </w:hyperlink>
    </w:p>
    <w:p>
      <w:pPr>
        <w:pStyle w:val="Compact"/>
        <w:numPr>
          <w:ilvl w:val="0"/>
          <w:numId w:val="1004"/>
        </w:numPr>
      </w:pPr>
      <w:r>
        <w:rPr>
          <w:b/>
          <w:bCs/>
        </w:rPr>
        <w:t xml:space="preserve">Service request</w:t>
      </w:r>
      <w:r>
        <w:t xml:space="preserve">: a user asks for something standard (access, equipment, password reset, information).</w:t>
      </w:r>
      <w:r>
        <w:t xml:space="preserve"> </w:t>
      </w:r>
      <w:hyperlink r:id="rId41">
        <w:r>
          <w:rPr>
            <w:rStyle w:val="Hyperlink"/>
          </w:rPr>
          <w:t xml:space="preserve">[34]</w:t>
        </w:r>
      </w:hyperlink>
    </w:p>
    <w:p>
      <w:pPr>
        <w:pStyle w:val="FirstParagraph"/>
      </w:pPr>
      <w:r>
        <w:t xml:space="preserve">That distinction is widely taught because it affects priority and workflow.</w:t>
      </w:r>
      <w:r>
        <w:t xml:space="preserve"> </w:t>
      </w:r>
      <w:hyperlink r:id="rId42">
        <w:r>
          <w:rPr>
            <w:rStyle w:val="Hyperlink"/>
          </w:rPr>
          <w:t xml:space="preserve">[35]</w:t>
        </w:r>
      </w:hyperlink>
    </w:p>
    <w:bookmarkEnd w:id="43"/>
    <w:bookmarkStart w:id="44" w:name="Xce90141ed01231e1bad9432f81a79cb86050776"/>
    <w:p>
      <w:pPr>
        <w:pStyle w:val="Heading3"/>
      </w:pPr>
      <w:r>
        <w:t xml:space="preserve">A Tier 1 ticket template that matches real best practices</w:t>
      </w:r>
    </w:p>
    <w:p>
      <w:pPr>
        <w:pStyle w:val="FirstParagraph"/>
      </w:pPr>
      <w:r>
        <w:t xml:space="preserve">This structure aligns with multiple sources of “effective ticket” guidance: clear subject, when/where, impact, steps to reproduce, priority, and a final review for clarity.</w:t>
      </w:r>
      <w:r>
        <w:t xml:space="preserve"> </w:t>
      </w:r>
      <w:hyperlink r:id="rId28">
        <w:r>
          <w:rPr>
            <w:rStyle w:val="Hyperlink"/>
          </w:rPr>
          <w:t xml:space="preserve">[36]</w:t>
        </w:r>
      </w:hyperlink>
    </w:p>
    <w:p>
      <w:pPr>
        <w:pStyle w:val="SourceCode"/>
      </w:pPr>
      <w:r>
        <w:rPr>
          <w:rStyle w:val="VerbatimChar"/>
        </w:rPr>
        <w:t xml:space="preserve">TITLE (1 line)</w:t>
      </w:r>
      <w:r>
        <w:br/>
      </w:r>
      <w:r>
        <w:rPr>
          <w:rStyle w:val="VerbatimChar"/>
        </w:rPr>
        <w:t xml:space="preserve">[Service/App] + [What is failing] + [Who/Where] + [Key error if any]</w:t>
      </w:r>
      <w:r>
        <w:br/>
      </w:r>
      <w:r>
        <w:br/>
      </w:r>
      <w:r>
        <w:rPr>
          <w:rStyle w:val="VerbatimChar"/>
        </w:rPr>
        <w:t xml:space="preserve">WHAT THE USER SAYS (2–4 lines)</w:t>
      </w:r>
      <w:r>
        <w:br/>
      </w:r>
      <w:r>
        <w:rPr>
          <w:rStyle w:val="VerbatimChar"/>
        </w:rPr>
        <w:t xml:space="preserve">- User reported:</w:t>
      </w:r>
      <w:r>
        <w:br/>
      </w:r>
      <w:r>
        <w:rPr>
          <w:rStyle w:val="VerbatimChar"/>
        </w:rPr>
        <w:t xml:space="preserve">- Started:</w:t>
      </w:r>
      <w:r>
        <w:br/>
      </w:r>
      <w:r>
        <w:rPr>
          <w:rStyle w:val="VerbatimChar"/>
        </w:rPr>
        <w:t xml:space="preserve">- Affects:</w:t>
      </w:r>
      <w:r>
        <w:br/>
      </w:r>
      <w:r>
        <w:rPr>
          <w:rStyle w:val="VerbatimChar"/>
        </w:rPr>
        <w:t xml:space="preserve">- Business impact:</w:t>
      </w:r>
      <w:r>
        <w:br/>
      </w:r>
      <w:r>
        <w:br/>
      </w:r>
      <w:r>
        <w:rPr>
          <w:rStyle w:val="VerbatimChar"/>
        </w:rPr>
        <w:t xml:space="preserve">ENVIRONMENT (short list)</w:t>
      </w:r>
      <w:r>
        <w:br/>
      </w:r>
      <w:r>
        <w:rPr>
          <w:rStyle w:val="VerbatimChar"/>
        </w:rPr>
        <w:t xml:space="preserve">- Device:</w:t>
      </w:r>
      <w:r>
        <w:br/>
      </w:r>
      <w:r>
        <w:rPr>
          <w:rStyle w:val="VerbatimChar"/>
        </w:rPr>
        <w:t xml:space="preserve">- Location/network (office/home/VPN):</w:t>
      </w:r>
      <w:r>
        <w:br/>
      </w:r>
      <w:r>
        <w:rPr>
          <w:rStyle w:val="VerbatimChar"/>
        </w:rPr>
        <w:t xml:space="preserve">- Account/role:</w:t>
      </w:r>
      <w:r>
        <w:br/>
      </w:r>
      <w:r>
        <w:rPr>
          <w:rStyle w:val="VerbatimChar"/>
        </w:rPr>
        <w:t xml:space="preserve">- App/version/browser:</w:t>
      </w:r>
      <w:r>
        <w:br/>
      </w:r>
      <w:r>
        <w:br/>
      </w:r>
      <w:r>
        <w:rPr>
          <w:rStyle w:val="VerbatimChar"/>
        </w:rPr>
        <w:t xml:space="preserve">STEPS TO REPRODUCE (numbered)</w:t>
      </w:r>
      <w:r>
        <w:br/>
      </w:r>
      <w:r>
        <w:rPr>
          <w:rStyle w:val="VerbatimChar"/>
        </w:rPr>
        <w:t xml:space="preserve">1)</w:t>
      </w:r>
      <w:r>
        <w:br/>
      </w:r>
      <w:r>
        <w:rPr>
          <w:rStyle w:val="VerbatimChar"/>
        </w:rPr>
        <w:t xml:space="preserve">2)</w:t>
      </w:r>
      <w:r>
        <w:br/>
      </w:r>
      <w:r>
        <w:rPr>
          <w:rStyle w:val="VerbatimChar"/>
        </w:rPr>
        <w:t xml:space="preserve">3)</w:t>
      </w:r>
      <w:r>
        <w:br/>
      </w:r>
      <w:r>
        <w:rPr>
          <w:rStyle w:val="VerbatimChar"/>
        </w:rPr>
        <w:t xml:space="preserve">Expected:</w:t>
      </w:r>
      <w:r>
        <w:br/>
      </w:r>
      <w:r>
        <w:rPr>
          <w:rStyle w:val="VerbatimChar"/>
        </w:rPr>
        <w:t xml:space="preserve">Actual:</w:t>
      </w:r>
      <w:r>
        <w:br/>
      </w:r>
      <w:r>
        <w:br/>
      </w:r>
      <w:r>
        <w:rPr>
          <w:rStyle w:val="VerbatimChar"/>
        </w:rPr>
        <w:t xml:space="preserve">WHAT I TRIED (short list)</w:t>
      </w:r>
      <w:r>
        <w:br/>
      </w:r>
      <w:r>
        <w:rPr>
          <w:rStyle w:val="VerbatimChar"/>
        </w:rPr>
        <w:t xml:space="preserve">- Checked:</w:t>
      </w:r>
      <w:r>
        <w:br/>
      </w:r>
      <w:r>
        <w:rPr>
          <w:rStyle w:val="VerbatimChar"/>
        </w:rPr>
        <w:t xml:space="preserve">- Tried:</w:t>
      </w:r>
      <w:r>
        <w:br/>
      </w:r>
      <w:r>
        <w:rPr>
          <w:rStyle w:val="VerbatimChar"/>
        </w:rPr>
        <w:t xml:space="preserve">- Result:</w:t>
      </w:r>
      <w:r>
        <w:br/>
      </w:r>
      <w:r>
        <w:br/>
      </w:r>
      <w:r>
        <w:rPr>
          <w:rStyle w:val="VerbatimChar"/>
        </w:rPr>
        <w:t xml:space="preserve">NEXT STEP / ESCALATION (1–2 lines)</w:t>
      </w:r>
      <w:r>
        <w:br/>
      </w:r>
      <w:r>
        <w:rPr>
          <w:rStyle w:val="VerbatimChar"/>
        </w:rPr>
        <w:t xml:space="preserve">- Escalating to:</w:t>
      </w:r>
      <w:r>
        <w:br/>
      </w:r>
      <w:r>
        <w:rPr>
          <w:rStyle w:val="VerbatimChar"/>
        </w:rPr>
        <w:t xml:space="preserve">- Reason:</w:t>
      </w:r>
      <w:r>
        <w:br/>
      </w:r>
      <w:r>
        <w:rPr>
          <w:rStyle w:val="VerbatimChar"/>
        </w:rPr>
        <w:t xml:space="preserve">- Needed logs/screenshot:</w:t>
      </w:r>
    </w:p>
    <w:p>
      <w:pPr>
        <w:pStyle w:val="FirstParagraph"/>
      </w:pPr>
      <w:r>
        <w:t xml:space="preserve">This template is intentionally “10th-grade readable”: short labels, short phrases (not long paragraphs), and it’s compatible with KCS guidance that capturing context matters and that complete, precise notes improve findability and reuse.</w:t>
      </w:r>
      <w:r>
        <w:t xml:space="preserve"> </w:t>
      </w:r>
      <w:hyperlink r:id="rId27">
        <w:r>
          <w:rPr>
            <w:rStyle w:val="Hyperlink"/>
          </w:rPr>
          <w:t xml:space="preserve">[37]</w:t>
        </w:r>
      </w:hyperlink>
    </w:p>
    <w:bookmarkEnd w:id="44"/>
    <w:bookmarkStart w:id="45" w:name="Xec24f59fcd717c31d1e3666c155ae9148284292"/>
    <w:p>
      <w:pPr>
        <w:pStyle w:val="Heading3"/>
      </w:pPr>
      <w:r>
        <w:t xml:space="preserve">Scoring: borrow proven QA scoring patterns</w:t>
      </w:r>
    </w:p>
    <w:p>
      <w:pPr>
        <w:pStyle w:val="FirstParagraph"/>
      </w:pPr>
      <w:r>
        <w:t xml:space="preserve">A major reason typing tutors work is that you can measure your score every time. You can do the same for tickets.</w:t>
      </w:r>
    </w:p>
    <w:p>
      <w:pPr>
        <w:pStyle w:val="BodyText"/>
      </w:pPr>
      <w:r>
        <w:t xml:space="preserve">Zendesk</w:t>
      </w:r>
      <w:hyperlink r:id="rId27">
        <w:r>
          <w:rPr>
            <w:rStyle w:val="Hyperlink"/>
          </w:rPr>
          <w:t xml:space="preserve">[38]</w:t>
        </w:r>
      </w:hyperlink>
      <w:r>
        <w:t xml:space="preserve"> </w:t>
      </w:r>
      <w:r>
        <w:t xml:space="preserve">publishes an example QA scorecard approach where tickets are evaluated across categories such as communication, responsiveness, procedure, and accuracy/clarity, with simple thumbs-up/down attributes that roll up into a percentage score.</w:t>
      </w:r>
      <w:r>
        <w:t xml:space="preserve"> </w:t>
      </w:r>
      <w:hyperlink r:id="rId24">
        <w:r>
          <w:rPr>
            <w:rStyle w:val="Hyperlink"/>
          </w:rPr>
          <w:t xml:space="preserve">[39]</w:t>
        </w:r>
      </w:hyperlink>
    </w:p>
    <w:p>
      <w:pPr>
        <w:pStyle w:val="BodyText"/>
      </w:pPr>
      <w:r>
        <w:t xml:space="preserve">That model maps cleanly into a ticket-writing tutor rubric (example categories):</w:t>
      </w:r>
    </w:p>
    <w:p>
      <w:pPr>
        <w:pStyle w:val="Compact"/>
        <w:numPr>
          <w:ilvl w:val="0"/>
          <w:numId w:val="1005"/>
        </w:numPr>
      </w:pPr>
      <w:r>
        <w:rPr>
          <w:b/>
          <w:bCs/>
        </w:rPr>
        <w:t xml:space="preserve">Clarity</w:t>
      </w:r>
      <w:r>
        <w:t xml:space="preserve"> </w:t>
      </w:r>
      <w:r>
        <w:t xml:space="preserve">(can another tech understand the issue quickly?)</w:t>
      </w:r>
      <w:r>
        <w:t xml:space="preserve"> </w:t>
      </w:r>
      <w:hyperlink r:id="rId28">
        <w:r>
          <w:rPr>
            <w:rStyle w:val="Hyperlink"/>
          </w:rPr>
          <w:t xml:space="preserve">[40]</w:t>
        </w:r>
      </w:hyperlink>
    </w:p>
    <w:p>
      <w:pPr>
        <w:pStyle w:val="Compact"/>
        <w:numPr>
          <w:ilvl w:val="0"/>
          <w:numId w:val="1005"/>
        </w:numPr>
      </w:pPr>
      <w:r>
        <w:rPr>
          <w:b/>
          <w:bCs/>
        </w:rPr>
        <w:t xml:space="preserve">Completeness</w:t>
      </w:r>
      <w:r>
        <w:t xml:space="preserve"> </w:t>
      </w:r>
      <w:r>
        <w:t xml:space="preserve">(did you capture when/where/impact/steps tried?)</w:t>
      </w:r>
      <w:r>
        <w:t xml:space="preserve"> </w:t>
      </w:r>
      <w:hyperlink r:id="rId28">
        <w:r>
          <w:rPr>
            <w:rStyle w:val="Hyperlink"/>
          </w:rPr>
          <w:t xml:space="preserve">[36]</w:t>
        </w:r>
      </w:hyperlink>
    </w:p>
    <w:p>
      <w:pPr>
        <w:pStyle w:val="Compact"/>
        <w:numPr>
          <w:ilvl w:val="0"/>
          <w:numId w:val="1005"/>
        </w:numPr>
      </w:pPr>
      <w:r>
        <w:rPr>
          <w:b/>
          <w:bCs/>
        </w:rPr>
        <w:t xml:space="preserve">Correct classification</w:t>
      </w:r>
      <w:r>
        <w:t xml:space="preserve"> </w:t>
      </w:r>
      <w:r>
        <w:t xml:space="preserve">(incident vs request; priority rationale)</w:t>
      </w:r>
      <w:r>
        <w:t xml:space="preserve"> </w:t>
      </w:r>
      <w:hyperlink r:id="rId42">
        <w:r>
          <w:rPr>
            <w:rStyle w:val="Hyperlink"/>
          </w:rPr>
          <w:t xml:space="preserve">[35]</w:t>
        </w:r>
      </w:hyperlink>
    </w:p>
    <w:p>
      <w:pPr>
        <w:pStyle w:val="Compact"/>
        <w:numPr>
          <w:ilvl w:val="0"/>
          <w:numId w:val="1005"/>
        </w:numPr>
      </w:pPr>
      <w:r>
        <w:rPr>
          <w:b/>
          <w:bCs/>
        </w:rPr>
        <w:t xml:space="preserve">Escalation readiness</w:t>
      </w:r>
      <w:r>
        <w:t xml:space="preserve"> </w:t>
      </w:r>
      <w:r>
        <w:t xml:space="preserve">(is Tier 2 blocked, or can they start immediately?)</w:t>
      </w:r>
      <w:r>
        <w:t xml:space="preserve"> </w:t>
      </w:r>
      <w:hyperlink r:id="rId22">
        <w:r>
          <w:rPr>
            <w:rStyle w:val="Hyperlink"/>
          </w:rPr>
          <w:t xml:space="preserve">[41]</w:t>
        </w:r>
      </w:hyperlink>
    </w:p>
    <w:bookmarkEnd w:id="45"/>
    <w:bookmarkStart w:id="47" w:name="book-vs-app-vs-hybrid"/>
    <w:p>
      <w:pPr>
        <w:pStyle w:val="Heading3"/>
      </w:pPr>
      <w:r>
        <w:t xml:space="preserve">Book vs app vs hybrid</w:t>
      </w:r>
    </w:p>
    <w:p>
      <w:pPr>
        <w:pStyle w:val="FirstParagraph"/>
      </w:pPr>
      <w:r>
        <w:t xml:space="preserve">Below is the practical tradeoff.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Why it’s good</w:t>
            </w:r>
          </w:p>
        </w:tc>
        <w:tc>
          <w:tcPr/>
          <w:p>
            <w:pPr>
              <w:pStyle w:val="Compact"/>
            </w:pPr>
            <w:r>
              <w:t xml:space="preserve">What’s hard about it</w:t>
            </w:r>
          </w:p>
        </w:tc>
        <w:tc>
          <w:tcPr/>
          <w:p>
            <w:pPr>
              <w:pStyle w:val="Compact"/>
            </w:pPr>
            <w:r>
              <w:t xml:space="preserve">Who it fits best</w:t>
            </w:r>
          </w:p>
        </w:tc>
      </w:tr>
      <w:tr>
        <w:tc>
          <w:tcPr/>
          <w:p>
            <w:pPr>
              <w:pStyle w:val="Compact"/>
            </w:pPr>
            <w:r>
              <w:t xml:space="preserve">Short book / workbook</w:t>
            </w:r>
          </w:p>
        </w:tc>
        <w:tc>
          <w:tcPr/>
          <w:p>
            <w:pPr>
              <w:pStyle w:val="Compact"/>
            </w:pPr>
            <w:r>
              <w:t xml:space="preserve">Cheapest and fastest to ship; easy to update; can include “good vs bad” examples and drills; easiest starting point if writing is hard (because you can use templates and repeatable patterns).</w:t>
            </w:r>
            <w:r>
              <w:t xml:space="preserve"> </w:t>
            </w:r>
            <w:hyperlink r:id="rId28">
              <w:r>
                <w:rPr>
                  <w:rStyle w:val="Hyperlink"/>
                </w:rPr>
                <w:t xml:space="preserve">[42]</w:t>
              </w:r>
            </w:hyperlink>
          </w:p>
        </w:tc>
        <w:tc>
          <w:tcPr/>
          <w:p>
            <w:pPr>
              <w:pStyle w:val="Compact"/>
            </w:pPr>
            <w:r>
              <w:t xml:space="preserve">No automatic scoring unless you add worksheets/rubrics; some learners won’t practice without interactivity.</w:t>
            </w:r>
            <w:r>
              <w:t xml:space="preserve"> </w:t>
            </w:r>
            <w:hyperlink r:id="rId24">
              <w:r>
                <w:rPr>
                  <w:rStyle w:val="Hyperlink"/>
                </w:rPr>
                <w:t xml:space="preserve">[39]</w:t>
              </w:r>
            </w:hyperlink>
          </w:p>
        </w:tc>
        <w:tc>
          <w:tcPr/>
          <w:p>
            <w:pPr>
              <w:pStyle w:val="Compact"/>
            </w:pPr>
            <w:r>
              <w:t xml:space="preserve">Job seekers, new hires, trainers who want a reference during onboarding.</w:t>
            </w:r>
            <w:r>
              <w:t xml:space="preserve"> </w:t>
            </w:r>
            <w:hyperlink r:id="rId21">
              <w:r>
                <w:rPr>
                  <w:rStyle w:val="Hyperlink"/>
                </w:rPr>
                <w:t xml:space="preserve">[43]</w:t>
              </w:r>
            </w:hyperlink>
          </w:p>
        </w:tc>
      </w:tr>
      <w:tr>
        <w:tc>
          <w:tcPr/>
          <w:p>
            <w:pPr>
              <w:pStyle w:val="Compact"/>
            </w:pPr>
            <w:r>
              <w:t xml:space="preserve">“Utility” web app (ticket tutor)</w:t>
            </w:r>
          </w:p>
        </w:tc>
        <w:tc>
          <w:tcPr/>
          <w:p>
            <w:pPr>
              <w:pStyle w:val="Compact"/>
            </w:pPr>
            <w:r>
              <w:t xml:space="preserve">Closest to typing tutor: timed drills + scoring + progress; can simulate real ticket fields; can be used at work for training cohorts (with fake scenarios).</w:t>
            </w:r>
            <w:r>
              <w:t xml:space="preserve"> </w:t>
            </w:r>
            <w:hyperlink r:id="rId24">
              <w:r>
                <w:rPr>
                  <w:rStyle w:val="Hyperlink"/>
                </w:rPr>
                <w:t xml:space="preserve">[31]</w:t>
              </w:r>
            </w:hyperlink>
          </w:p>
        </w:tc>
        <w:tc>
          <w:tcPr/>
          <w:p>
            <w:pPr>
              <w:pStyle w:val="Compact"/>
            </w:pPr>
            <w:r>
              <w:t xml:space="preserve">Costs more to build/maintain; needs content (lots of scenarios and model tickets) to stay valuable.</w:t>
            </w:r>
            <w:r>
              <w:t xml:space="preserve"> </w:t>
            </w:r>
            <w:hyperlink r:id="rId46">
              <w:r>
                <w:rPr>
                  <w:rStyle w:val="Hyperlink"/>
                </w:rPr>
                <w:t xml:space="preserve">[44]</w:t>
              </w:r>
            </w:hyperlink>
          </w:p>
        </w:tc>
        <w:tc>
          <w:tcPr/>
          <w:p>
            <w:pPr>
              <w:pStyle w:val="Compact"/>
            </w:pPr>
            <w:r>
              <w:t xml:space="preserve">Teams training multiple agents; people who learn by doing.</w:t>
            </w:r>
            <w:r>
              <w:t xml:space="preserve"> </w:t>
            </w:r>
            <w:hyperlink r:id="rId34">
              <w:r>
                <w:rPr>
                  <w:rStyle w:val="Hyperlink"/>
                </w:rPr>
                <w:t xml:space="preserve">[45]</w:t>
              </w:r>
            </w:hyperlink>
          </w:p>
        </w:tc>
      </w:tr>
      <w:tr>
        <w:tc>
          <w:tcPr/>
          <w:p>
            <w:pPr>
              <w:pStyle w:val="Compact"/>
            </w:pPr>
            <w:r>
              <w:t xml:space="preserve">Hybrid (recommended MVP path)</w:t>
            </w:r>
          </w:p>
        </w:tc>
        <w:tc>
          <w:tcPr/>
          <w:p>
            <w:pPr>
              <w:pStyle w:val="Compact"/>
            </w:pPr>
            <w:r>
              <w:t xml:space="preserve">Start with workbook content, then “wrap” it in a simple app later; same rubric, same scenarios, same examples—less wasted effort.</w:t>
            </w:r>
            <w:r>
              <w:t xml:space="preserve"> </w:t>
            </w:r>
            <w:hyperlink r:id="rId24">
              <w:r>
                <w:rPr>
                  <w:rStyle w:val="Hyperlink"/>
                </w:rPr>
                <w:t xml:space="preserve">[30]</w:t>
              </w:r>
            </w:hyperlink>
          </w:p>
        </w:tc>
        <w:tc>
          <w:tcPr/>
          <w:p>
            <w:pPr>
              <w:pStyle w:val="Compact"/>
            </w:pPr>
            <w:r>
              <w:t xml:space="preserve">Requires discipline to design content “app-ready” (structured scenarios, consistent fields).</w:t>
            </w:r>
            <w:r>
              <w:t xml:space="preserve"> </w:t>
            </w:r>
            <w:hyperlink r:id="rId22">
              <w:r>
                <w:rPr>
                  <w:rStyle w:val="Hyperlink"/>
                </w:rPr>
                <w:t xml:space="preserve">[46]</w:t>
              </w:r>
            </w:hyperlink>
          </w:p>
        </w:tc>
        <w:tc>
          <w:tcPr/>
          <w:p>
            <w:pPr>
              <w:pStyle w:val="Compact"/>
            </w:pPr>
            <w:r>
              <w:t xml:space="preserve">Best for validating demand cheaply, then scaling.</w:t>
            </w:r>
            <w:r>
              <w:t xml:space="preserve"> </w:t>
            </w:r>
            <w:hyperlink r:id="rId25">
              <w:r>
                <w:rPr>
                  <w:rStyle w:val="Hyperlink"/>
                </w:rPr>
                <w:t xml:space="preserve">[47]</w:t>
              </w:r>
            </w:hyperlink>
          </w:p>
        </w:tc>
      </w:tr>
    </w:tbl>
    <w:p>
      <w:pPr>
        <w:pStyle w:val="BodyText"/>
      </w:pPr>
      <w:r>
        <w:rPr>
          <w:b/>
          <w:bCs/>
        </w:rPr>
        <w:t xml:space="preserve">Recommendation:</w:t>
      </w:r>
      <w:r>
        <w:t xml:space="preserve"> </w:t>
      </w:r>
      <w:r>
        <w:t xml:space="preserve">Build a</w:t>
      </w:r>
      <w:r>
        <w:t xml:space="preserve"> </w:t>
      </w:r>
      <w:r>
        <w:rPr>
          <w:b/>
          <w:bCs/>
        </w:rPr>
        <w:t xml:space="preserve">workbook first</w:t>
      </w:r>
      <w:r>
        <w:t xml:space="preserve">, because it’s simplest and will prove whether people actually want to practice. Then build the app if usage proves demand. This matches how many training programs work: clear standards + repetition + feedback.</w:t>
      </w:r>
      <w:r>
        <w:t xml:space="preserve"> </w:t>
      </w:r>
      <w:hyperlink r:id="rId21">
        <w:r>
          <w:rPr>
            <w:rStyle w:val="Hyperlink"/>
          </w:rPr>
          <w:t xml:space="preserve">[48]</w:t>
        </w:r>
      </w:hyperlink>
    </w:p>
    <w:bookmarkEnd w:id="47"/>
    <w:bookmarkEnd w:id="48"/>
    <w:bookmarkStart w:id="53" w:name="validation-plan-and-success-metrics"/>
    <w:p>
      <w:pPr>
        <w:pStyle w:val="Heading2"/>
      </w:pPr>
      <w:r>
        <w:t xml:space="preserve">Validation plan and success metrics</w:t>
      </w:r>
    </w:p>
    <w:p>
      <w:pPr>
        <w:pStyle w:val="FirstParagraph"/>
      </w:pPr>
      <w:r>
        <w:t xml:space="preserve">You asked, “Is this something needed?” The strongest way to answer that (before investing heavily) is to validate with measurable outcomes.</w:t>
      </w:r>
    </w:p>
    <w:bookmarkStart w:id="50" w:name="what-success-looks-like-for-your-product"/>
    <w:p>
      <w:pPr>
        <w:pStyle w:val="Heading3"/>
      </w:pPr>
      <w:r>
        <w:t xml:space="preserve">What “success” looks like for your product</w:t>
      </w:r>
    </w:p>
    <w:p>
      <w:pPr>
        <w:pStyle w:val="FirstParagraph"/>
      </w:pPr>
      <w:r>
        <w:t xml:space="preserve">Use metrics that map to real support operations metrics and QA methods:</w:t>
      </w:r>
    </w:p>
    <w:p>
      <w:pPr>
        <w:pStyle w:val="Compact"/>
        <w:numPr>
          <w:ilvl w:val="0"/>
          <w:numId w:val="1006"/>
        </w:numPr>
      </w:pPr>
      <w:r>
        <w:rPr>
          <w:b/>
          <w:bCs/>
        </w:rPr>
        <w:t xml:space="preserve">Ticket quality score</w:t>
      </w:r>
      <w:r>
        <w:t xml:space="preserve"> </w:t>
      </w:r>
      <w:r>
        <w:t xml:space="preserve">(your rubric, 0–100%). Modeled after QA scorecard approaches where attributes roll up into a percentage.</w:t>
      </w:r>
      <w:r>
        <w:t xml:space="preserve"> </w:t>
      </w:r>
      <w:hyperlink r:id="rId24">
        <w:r>
          <w:rPr>
            <w:rStyle w:val="Hyperlink"/>
          </w:rPr>
          <w:t xml:space="preserve">[39]</w:t>
        </w:r>
      </w:hyperlink>
    </w:p>
    <w:p>
      <w:pPr>
        <w:pStyle w:val="Compact"/>
        <w:numPr>
          <w:ilvl w:val="0"/>
          <w:numId w:val="1006"/>
        </w:numPr>
      </w:pPr>
      <w:r>
        <w:rPr>
          <w:b/>
          <w:bCs/>
        </w:rPr>
        <w:t xml:space="preserve">First contact resolution (FCR)</w:t>
      </w:r>
      <w:r>
        <w:t xml:space="preserve"> </w:t>
      </w:r>
      <w:r>
        <w:t xml:space="preserve">and</w:t>
      </w:r>
      <w:r>
        <w:t xml:space="preserve"> </w:t>
      </w:r>
      <w:r>
        <w:rPr>
          <w:b/>
          <w:bCs/>
        </w:rPr>
        <w:t xml:space="preserve">time to resolution (TTR/MTTR)</w:t>
      </w:r>
      <w:r>
        <w:t xml:space="preserve"> </w:t>
      </w:r>
      <w:r>
        <w:t xml:space="preserve">are common service desk efficiency metrics; performance frameworks often track these.</w:t>
      </w:r>
      <w:r>
        <w:t xml:space="preserve"> </w:t>
      </w:r>
      <w:hyperlink r:id="rId49">
        <w:r>
          <w:rPr>
            <w:rStyle w:val="Hyperlink"/>
          </w:rPr>
          <w:t xml:space="preserve">[49]</w:t>
        </w:r>
      </w:hyperlink>
    </w:p>
    <w:p>
      <w:pPr>
        <w:pStyle w:val="Compact"/>
        <w:numPr>
          <w:ilvl w:val="0"/>
          <w:numId w:val="1006"/>
        </w:numPr>
      </w:pPr>
      <w:r>
        <w:rPr>
          <w:b/>
          <w:bCs/>
        </w:rPr>
        <w:t xml:space="preserve">Escalation rate</w:t>
      </w:r>
      <w:r>
        <w:t xml:space="preserve"> </w:t>
      </w:r>
      <w:r>
        <w:t xml:space="preserve">(how often Tier 1 has to escalate) and</w:t>
      </w:r>
      <w:r>
        <w:t xml:space="preserve"> </w:t>
      </w:r>
      <w:r>
        <w:rPr>
          <w:b/>
          <w:bCs/>
        </w:rPr>
        <w:t xml:space="preserve">reopen rate</w:t>
      </w:r>
      <w:r>
        <w:t xml:space="preserve"> </w:t>
      </w:r>
      <w:r>
        <w:t xml:space="preserve">(tickets reopened due to incomplete resolution/communication). Escalation rate is a commonly tracked metric in help desk KPI sets.</w:t>
      </w:r>
      <w:r>
        <w:t xml:space="preserve"> </w:t>
      </w:r>
      <w:hyperlink r:id="rId49">
        <w:r>
          <w:rPr>
            <w:rStyle w:val="Hyperlink"/>
          </w:rPr>
          <w:t xml:space="preserve">[50]</w:t>
        </w:r>
      </w:hyperlink>
    </w:p>
    <w:p>
      <w:pPr>
        <w:pStyle w:val="Compact"/>
        <w:numPr>
          <w:ilvl w:val="0"/>
          <w:numId w:val="1006"/>
        </w:numPr>
      </w:pPr>
      <w:r>
        <w:rPr>
          <w:b/>
          <w:bCs/>
        </w:rPr>
        <w:t xml:space="preserve">Time-to-proficiency for new hires</w:t>
      </w:r>
      <w:r>
        <w:t xml:space="preserve">: how quickly a new agent can write a ticket that meets your standards. (The KCS guide reports that adopters see improvements in proficiency and training times.)</w:t>
      </w:r>
      <w:r>
        <w:t xml:space="preserve"> </w:t>
      </w:r>
      <w:hyperlink r:id="rId27">
        <w:r>
          <w:rPr>
            <w:rStyle w:val="Hyperlink"/>
          </w:rPr>
          <w:t xml:space="preserve">[51]</w:t>
        </w:r>
      </w:hyperlink>
    </w:p>
    <w:bookmarkEnd w:id="50"/>
    <w:bookmarkStart w:id="51" w:name="X411907e0e261982c68e3f995e05edba33388913"/>
    <w:p>
      <w:pPr>
        <w:pStyle w:val="Heading3"/>
      </w:pPr>
      <w:r>
        <w:t xml:space="preserve">Why knowledge-centered approaches strengthen your business case</w:t>
      </w:r>
    </w:p>
    <w:p>
      <w:pPr>
        <w:pStyle w:val="FirstParagraph"/>
      </w:pPr>
      <w:r>
        <w:t xml:space="preserve">Even if your tool is “ticket writing,” KCS research is relevant because it treats ticket handling and documentation as part of the same workflow. The KCS Practices Guide reports that organizations implementing KCS report improvements such as</w:t>
      </w:r>
      <w:r>
        <w:t xml:space="preserve"> </w:t>
      </w:r>
      <w:r>
        <w:rPr>
          <w:b/>
          <w:bCs/>
        </w:rPr>
        <w:t xml:space="preserve">faster case/incident resolution</w:t>
      </w:r>
      <w:r>
        <w:t xml:space="preserve"> </w:t>
      </w:r>
      <w:r>
        <w:t xml:space="preserve">and higher</w:t>
      </w:r>
      <w:r>
        <w:t xml:space="preserve"> </w:t>
      </w:r>
      <w:r>
        <w:rPr>
          <w:b/>
          <w:bCs/>
        </w:rPr>
        <w:t xml:space="preserve">first contact resolution</w:t>
      </w:r>
      <w:r>
        <w:t xml:space="preserve">, and it frames these as benefits seen by Consortium members (i.e., reported outcomes, not guarantees).</w:t>
      </w:r>
      <w:r>
        <w:t xml:space="preserve"> </w:t>
      </w:r>
      <w:hyperlink r:id="rId27">
        <w:r>
          <w:rPr>
            <w:rStyle w:val="Hyperlink"/>
          </w:rPr>
          <w:t xml:space="preserve">[51]</w:t>
        </w:r>
      </w:hyperlink>
    </w:p>
    <w:bookmarkEnd w:id="51"/>
    <w:bookmarkStart w:id="52" w:name="Xe94aa08e55bcea6bfd8129a20df87025a26bd2f"/>
    <w:p>
      <w:pPr>
        <w:pStyle w:val="Heading3"/>
      </w:pPr>
      <w:r>
        <w:t xml:space="preserve">Simple validation method (no heavy tech required)</w:t>
      </w:r>
    </w:p>
    <w:p>
      <w:pPr>
        <w:pStyle w:val="FirstParagraph"/>
      </w:pPr>
      <w:r>
        <w:t xml:space="preserve">A lightweight validation test you can run with your trainees:</w:t>
      </w:r>
    </w:p>
    <w:p>
      <w:pPr>
        <w:pStyle w:val="BodyText"/>
      </w:pPr>
      <w:r>
        <w:t xml:space="preserve">1) Give trainees 5 scenarios; have them write tickets.</w:t>
      </w:r>
      <w:r>
        <w:br/>
      </w:r>
      <w:r>
        <w:t xml:space="preserve">2) Score them with your rubric (baseline).</w:t>
      </w:r>
      <w:r>
        <w:br/>
      </w:r>
      <w:r>
        <w:t xml:space="preserve">3) Train them using your workbook for 2–3 weeks (15 minutes/day).</w:t>
      </w:r>
      <w:r>
        <w:br/>
      </w:r>
      <w:r>
        <w:t xml:space="preserve">4) Re-test with 5 new scenarios and compare scores.</w:t>
      </w:r>
    </w:p>
    <w:p>
      <w:pPr>
        <w:pStyle w:val="BodyText"/>
      </w:pPr>
      <w:r>
        <w:t xml:space="preserve">If your average ticket score improves significantly and supervisors spend less time rewriting tickets, you have strong early evidence of product value. That aligns with the “documentation counts” argument: consistent documentation improves reporting, staffing justification, and knowledge base creation.</w:t>
      </w:r>
      <w:r>
        <w:t xml:space="preserve"> </w:t>
      </w:r>
      <w:hyperlink r:id="rId21">
        <w:r>
          <w:rPr>
            <w:rStyle w:val="Hyperlink"/>
          </w:rPr>
          <w:t xml:space="preserve">[52]</w:t>
        </w:r>
      </w:hyperlink>
    </w:p>
    <w:bookmarkEnd w:id="52"/>
    <w:bookmarkEnd w:id="53"/>
    <w:bookmarkStart w:id="58" w:name="build-plan-timeline-and-cost-ranges"/>
    <w:p>
      <w:pPr>
        <w:pStyle w:val="Heading2"/>
      </w:pPr>
      <w:r>
        <w:t xml:space="preserve">Build plan, timeline, and cost ranges</w:t>
      </w:r>
    </w:p>
    <w:bookmarkStart w:id="54" w:name="a-practical-10-week-mvp-timeline"/>
    <w:p>
      <w:pPr>
        <w:pStyle w:val="Heading3"/>
      </w:pPr>
      <w:r>
        <w:t xml:space="preserve">A practical 10-week MVP timeline</w:t>
      </w:r>
    </w:p>
    <w:p>
      <w:pPr>
        <w:pStyle w:val="FirstParagraph"/>
      </w:pPr>
      <w:r>
        <w:t xml:space="preserve">This timeline assumes you’re building the workbook first, plus a very small web prototype (optional). It is not location- or industry-specific.</w:t>
      </w:r>
    </w:p>
    <w:p>
      <w:pPr>
        <w:pStyle w:val="SourceCode"/>
      </w:pPr>
      <w:r>
        <w:rPr>
          <w:rStyle w:val="VerbatimChar"/>
        </w:rPr>
        <w:t xml:space="preserve">gantt</w:t>
      </w:r>
      <w:r>
        <w:br/>
      </w:r>
      <w:r>
        <w:rPr>
          <w:rStyle w:val="VerbatimChar"/>
        </w:rPr>
        <w:t xml:space="preserve">  title Ticket-writing tutor MVP plan (10 weeks)</w:t>
      </w:r>
      <w:r>
        <w:br/>
      </w:r>
      <w:r>
        <w:rPr>
          <w:rStyle w:val="VerbatimChar"/>
        </w:rPr>
        <w:t xml:space="preserve">  dateFormat  YYYY-MM-DD</w:t>
      </w:r>
      <w:r>
        <w:br/>
      </w:r>
      <w:r>
        <w:rPr>
          <w:rStyle w:val="VerbatimChar"/>
        </w:rPr>
        <w:t xml:space="preserve">  axisFormat  %b %d</w:t>
      </w:r>
      <w:r>
        <w:br/>
      </w:r>
      <w:r>
        <w:br/>
      </w:r>
      <w:r>
        <w:rPr>
          <w:rStyle w:val="VerbatimChar"/>
        </w:rPr>
        <w:t xml:space="preserve">  section Define what "good" means</w:t>
      </w:r>
      <w:r>
        <w:br/>
      </w:r>
      <w:r>
        <w:rPr>
          <w:rStyle w:val="VerbatimChar"/>
        </w:rPr>
        <w:t xml:space="preserve">  Collect 30-50 real anonymized ticket examples :a1, 2026-02-24, 7d</w:t>
      </w:r>
      <w:r>
        <w:br/>
      </w:r>
      <w:r>
        <w:rPr>
          <w:rStyle w:val="VerbatimChar"/>
        </w:rPr>
        <w:t xml:space="preserve">  Draft 1-page ticket rubric + checklist         :a2, after a1, 7d</w:t>
      </w:r>
      <w:r>
        <w:br/>
      </w:r>
      <w:r>
        <w:br/>
      </w:r>
      <w:r>
        <w:rPr>
          <w:rStyle w:val="VerbatimChar"/>
        </w:rPr>
        <w:t xml:space="preserve">  section Create practice content</w:t>
      </w:r>
      <w:r>
        <w:br/>
      </w:r>
      <w:r>
        <w:rPr>
          <w:rStyle w:val="VerbatimChar"/>
        </w:rPr>
        <w:t xml:space="preserve">  Write 40 scenario prompts (incident + request) :b1, 2026-03-10, 14d</w:t>
      </w:r>
      <w:r>
        <w:br/>
      </w:r>
      <w:r>
        <w:rPr>
          <w:rStyle w:val="VerbatimChar"/>
        </w:rPr>
        <w:t xml:space="preserve">  Write 40 model "gold" tickets                 :b2, after b1, 14d</w:t>
      </w:r>
      <w:r>
        <w:br/>
      </w:r>
      <w:r>
        <w:br/>
      </w:r>
      <w:r>
        <w:rPr>
          <w:rStyle w:val="VerbatimChar"/>
        </w:rPr>
        <w:t xml:space="preserve">  section Pilot with real trainees</w:t>
      </w:r>
      <w:r>
        <w:br/>
      </w:r>
      <w:r>
        <w:rPr>
          <w:rStyle w:val="VerbatimChar"/>
        </w:rPr>
        <w:t xml:space="preserve">  Run pilot with 10-20 users                     :c1, 2026-04-07, 7d</w:t>
      </w:r>
      <w:r>
        <w:br/>
      </w:r>
      <w:r>
        <w:rPr>
          <w:rStyle w:val="VerbatimChar"/>
        </w:rPr>
        <w:t xml:space="preserve">  Measure score improvement + collect feedback   :c2, after c1, 7d</w:t>
      </w:r>
      <w:r>
        <w:br/>
      </w:r>
      <w:r>
        <w:br/>
      </w:r>
      <w:r>
        <w:rPr>
          <w:rStyle w:val="VerbatimChar"/>
        </w:rPr>
        <w:t xml:space="preserve">  section Publish MVP</w:t>
      </w:r>
      <w:r>
        <w:br/>
      </w:r>
      <w:r>
        <w:rPr>
          <w:rStyle w:val="VerbatimChar"/>
        </w:rPr>
        <w:t xml:space="preserve">  Finalize workbook (layout + editing)           :d1, 2026-04-21, 10d</w:t>
      </w:r>
      <w:r>
        <w:br/>
      </w:r>
      <w:r>
        <w:rPr>
          <w:rStyle w:val="VerbatimChar"/>
        </w:rPr>
        <w:t xml:space="preserve">  Optional: Build simple web scorer prototype    :d2, 2026-04-21, 14d</w:t>
      </w:r>
      <w:r>
        <w:br/>
      </w:r>
      <w:r>
        <w:rPr>
          <w:rStyle w:val="VerbatimChar"/>
        </w:rPr>
        <w:t xml:space="preserve">  Release v1 + plan next iteration               :d3, 2026-05-05, 7d</w:t>
      </w:r>
    </w:p>
    <w:bookmarkEnd w:id="54"/>
    <w:bookmarkStart w:id="56" w:name="who-you-need-roles"/>
    <w:p>
      <w:pPr>
        <w:pStyle w:val="Heading3"/>
      </w:pPr>
      <w:r>
        <w:t xml:space="preserve">Who you need (roles)</w:t>
      </w:r>
    </w:p>
    <w:p>
      <w:pPr>
        <w:pStyle w:val="FirstParagraph"/>
      </w:pPr>
      <w:r>
        <w:t xml:space="preserve">You can do a lot yourself as the subject matter expert (SME), but two supporting roles help greatly:</w:t>
      </w:r>
    </w:p>
    <w:p>
      <w:pPr>
        <w:pStyle w:val="Compact"/>
        <w:numPr>
          <w:ilvl w:val="0"/>
          <w:numId w:val="1007"/>
        </w:numPr>
      </w:pPr>
      <w:r>
        <w:rPr>
          <w:b/>
          <w:bCs/>
        </w:rPr>
        <w:t xml:space="preserve">Instructional designer / trainer</w:t>
      </w:r>
      <w:r>
        <w:t xml:space="preserve"> </w:t>
      </w:r>
      <w:r>
        <w:t xml:space="preserve">(turns your know-how into exercises).</w:t>
      </w:r>
      <w:r>
        <w:t xml:space="preserve"> </w:t>
      </w:r>
      <w:hyperlink r:id="rId34">
        <w:r>
          <w:rPr>
            <w:rStyle w:val="Hyperlink"/>
          </w:rPr>
          <w:t xml:space="preserve">[22]</w:t>
        </w:r>
      </w:hyperlink>
    </w:p>
    <w:p>
      <w:pPr>
        <w:pStyle w:val="Compact"/>
        <w:numPr>
          <w:ilvl w:val="0"/>
          <w:numId w:val="1007"/>
        </w:numPr>
      </w:pPr>
      <w:r>
        <w:rPr>
          <w:b/>
          <w:bCs/>
        </w:rPr>
        <w:t xml:space="preserve">Editor</w:t>
      </w:r>
      <w:r>
        <w:t xml:space="preserve"> </w:t>
      </w:r>
      <w:r>
        <w:t xml:space="preserve">(makes the writing clean and readable—especially helpful since you want 10th-grade readability).</w:t>
      </w:r>
      <w:r>
        <w:t xml:space="preserve"> </w:t>
      </w:r>
      <w:hyperlink r:id="rId55">
        <w:r>
          <w:rPr>
            <w:rStyle w:val="Hyperlink"/>
          </w:rPr>
          <w:t xml:space="preserve">[53]</w:t>
        </w:r>
      </w:hyperlink>
    </w:p>
    <w:p>
      <w:pPr>
        <w:pStyle w:val="FirstParagraph"/>
      </w:pPr>
      <w:r>
        <w:t xml:space="preserve">If you build the app later:</w:t>
      </w:r>
    </w:p>
    <w:p>
      <w:pPr>
        <w:pStyle w:val="Compact"/>
        <w:numPr>
          <w:ilvl w:val="0"/>
          <w:numId w:val="1008"/>
        </w:numPr>
      </w:pPr>
      <w:r>
        <w:rPr>
          <w:b/>
          <w:bCs/>
        </w:rPr>
        <w:t xml:space="preserve">Developer</w:t>
      </w:r>
      <w:r>
        <w:t xml:space="preserve"> </w:t>
      </w:r>
      <w:r>
        <w:t xml:space="preserve">(or no-code builder),</w:t>
      </w:r>
      <w:r>
        <w:t xml:space="preserve"> </w:t>
      </w:r>
      <w:r>
        <w:rPr>
          <w:b/>
          <w:bCs/>
        </w:rPr>
        <w:t xml:space="preserve">UX/UI</w:t>
      </w:r>
      <w:r>
        <w:t xml:space="preserve">, and basic</w:t>
      </w:r>
      <w:r>
        <w:t xml:space="preserve"> </w:t>
      </w:r>
      <w:r>
        <w:rPr>
          <w:b/>
          <w:bCs/>
        </w:rPr>
        <w:t xml:space="preserve">QA/testing</w:t>
      </w:r>
      <w:r>
        <w:t xml:space="preserve">.</w:t>
      </w:r>
    </w:p>
    <w:bookmarkEnd w:id="56"/>
    <w:bookmarkStart w:id="57" w:name="cost-estimates-low-medium-high"/>
    <w:p>
      <w:pPr>
        <w:pStyle w:val="Heading3"/>
      </w:pPr>
      <w:r>
        <w:t xml:space="preserve">Cost estimates (low / medium / high)</w:t>
      </w:r>
    </w:p>
    <w:p>
      <w:pPr>
        <w:pStyle w:val="FirstParagraph"/>
      </w:pPr>
      <w:r>
        <w:t xml:space="preserve">Costs vary widely by scope, but you can anchor budgets using common market rate references.</w:t>
      </w:r>
    </w:p>
    <w:p>
      <w:pPr>
        <w:pStyle w:val="Compact"/>
        <w:numPr>
          <w:ilvl w:val="0"/>
          <w:numId w:val="1009"/>
        </w:numPr>
      </w:pPr>
      <w:r>
        <w:t xml:space="preserve">App development costs: Clutch</w:t>
      </w:r>
      <w:hyperlink r:id="rId27">
        <w:r>
          <w:rPr>
            <w:rStyle w:val="Hyperlink"/>
          </w:rPr>
          <w:t xml:space="preserve">[54]</w:t>
        </w:r>
      </w:hyperlink>
      <w:r>
        <w:t xml:space="preserve"> </w:t>
      </w:r>
      <w:r>
        <w:t xml:space="preserve">reports many app projects fall in the</w:t>
      </w:r>
      <w:r>
        <w:t xml:space="preserve"> </w:t>
      </w:r>
      <w:r>
        <w:rPr>
          <w:b/>
          <w:bCs/>
        </w:rPr>
        <w:t xml:space="preserve">$10,000–$49,999</w:t>
      </w:r>
      <w:r>
        <w:t xml:space="preserve"> </w:t>
      </w:r>
      <w:r>
        <w:t xml:space="preserve">range, with common hourly rates that vary by region.</w:t>
      </w:r>
      <w:r>
        <w:t xml:space="preserve"> </w:t>
      </w:r>
      <w:hyperlink r:id="rId46">
        <w:r>
          <w:rPr>
            <w:rStyle w:val="Hyperlink"/>
          </w:rPr>
          <w:t xml:space="preserve">[55]</w:t>
        </w:r>
      </w:hyperlink>
    </w:p>
    <w:p>
      <w:pPr>
        <w:pStyle w:val="Compact"/>
        <w:numPr>
          <w:ilvl w:val="0"/>
          <w:numId w:val="1009"/>
        </w:numPr>
      </w:pPr>
      <w:r>
        <w:t xml:space="preserve">Book editing costs: Reedsy</w:t>
      </w:r>
      <w:hyperlink r:id="rId33">
        <w:r>
          <w:rPr>
            <w:rStyle w:val="Hyperlink"/>
          </w:rPr>
          <w:t xml:space="preserve">[56]</w:t>
        </w:r>
      </w:hyperlink>
      <w:r>
        <w:t xml:space="preserve"> </w:t>
      </w:r>
      <w:r>
        <w:t xml:space="preserve">notes professional editors often charge roughly</w:t>
      </w:r>
      <w:r>
        <w:t xml:space="preserve"> </w:t>
      </w:r>
      <w:r>
        <w:rPr>
          <w:b/>
          <w:bCs/>
        </w:rPr>
        <w:t xml:space="preserve">$0.01–$0.05 per word</w:t>
      </w:r>
      <w:r>
        <w:t xml:space="preserve">, varying by editing type.</w:t>
      </w:r>
      <w:r>
        <w:t xml:space="preserve"> </w:t>
      </w:r>
      <w:hyperlink r:id="rId55">
        <w:r>
          <w:rPr>
            <w:rStyle w:val="Hyperlink"/>
          </w:rPr>
          <w:t xml:space="preserve">[57]</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Budget level</w:t>
            </w:r>
          </w:p>
        </w:tc>
        <w:tc>
          <w:tcPr/>
          <w:p>
            <w:pPr>
              <w:pStyle w:val="Compact"/>
            </w:pPr>
            <w:r>
              <w:t xml:space="preserve">What you can build</w:t>
            </w:r>
          </w:p>
        </w:tc>
        <w:tc>
          <w:tcPr/>
          <w:p>
            <w:pPr>
              <w:pStyle w:val="Compact"/>
            </w:pPr>
            <w:r>
              <w:t xml:space="preserve">Typical cost drivers</w:t>
            </w:r>
          </w:p>
        </w:tc>
        <w:tc>
          <w:tcPr/>
          <w:p>
            <w:pPr>
              <w:pStyle w:val="Compact"/>
              <w:jc w:val="right"/>
            </w:pPr>
            <w:r>
              <w:t xml:space="preserve">Rough range (USD)</w:t>
            </w:r>
          </w:p>
        </w:tc>
      </w:tr>
      <w:tr>
        <w:tc>
          <w:tcPr/>
          <w:p>
            <w:pPr>
              <w:pStyle w:val="Compact"/>
            </w:pPr>
            <w:r>
              <w:t xml:space="preserve">Low</w:t>
            </w:r>
          </w:p>
        </w:tc>
        <w:tc>
          <w:tcPr/>
          <w:p>
            <w:pPr>
              <w:pStyle w:val="Compact"/>
            </w:pPr>
            <w:r>
              <w:t xml:space="preserve">Workbook (PDF / print-on-demand) + scoring rubric + 40 scenarios</w:t>
            </w:r>
          </w:p>
        </w:tc>
        <w:tc>
          <w:tcPr/>
          <w:p>
            <w:pPr>
              <w:pStyle w:val="Compact"/>
            </w:pPr>
            <w:r>
              <w:t xml:space="preserve">Editing, simple design/layout, maybe basic website landing page</w:t>
            </w:r>
          </w:p>
        </w:tc>
        <w:tc>
          <w:tcPr/>
          <w:p>
            <w:pPr>
              <w:pStyle w:val="Compact"/>
              <w:jc w:val="right"/>
            </w:pPr>
            <w:r>
              <w:t xml:space="preserve">$300–$2,500</w:t>
            </w:r>
            <w:r>
              <w:t xml:space="preserve"> </w:t>
            </w:r>
            <w:hyperlink r:id="rId55">
              <w:r>
                <w:rPr>
                  <w:rStyle w:val="Hyperlink"/>
                </w:rPr>
                <w:t xml:space="preserve">[53]</w:t>
              </w:r>
            </w:hyperlink>
          </w:p>
        </w:tc>
      </w:tr>
      <w:tr>
        <w:tc>
          <w:tcPr/>
          <w:p>
            <w:pPr>
              <w:pStyle w:val="Compact"/>
            </w:pPr>
            <w:r>
              <w:t xml:space="preserve">Medium</w:t>
            </w:r>
          </w:p>
        </w:tc>
        <w:tc>
          <w:tcPr/>
          <w:p>
            <w:pPr>
              <w:pStyle w:val="Compact"/>
            </w:pPr>
            <w:r>
              <w:t xml:space="preserve">Workbook + small web “practice form” (no-code) + analytics + 150 scenarios</w:t>
            </w:r>
          </w:p>
        </w:tc>
        <w:tc>
          <w:tcPr/>
          <w:p>
            <w:pPr>
              <w:pStyle w:val="Compact"/>
            </w:pPr>
            <w:r>
              <w:t xml:space="preserve">More content, better UX, iterative pilots</w:t>
            </w:r>
          </w:p>
        </w:tc>
        <w:tc>
          <w:tcPr/>
          <w:p>
            <w:pPr>
              <w:pStyle w:val="Compact"/>
              <w:jc w:val="right"/>
            </w:pPr>
            <w:r>
              <w:t xml:space="preserve">$3,000–$15,000</w:t>
            </w:r>
            <w:r>
              <w:t xml:space="preserve"> </w:t>
            </w:r>
            <w:hyperlink r:id="rId46">
              <w:r>
                <w:rPr>
                  <w:rStyle w:val="Hyperlink"/>
                </w:rPr>
                <w:t xml:space="preserve">[58]</w:t>
              </w:r>
            </w:hyperlink>
          </w:p>
        </w:tc>
      </w:tr>
      <w:tr>
        <w:tc>
          <w:tcPr/>
          <w:p>
            <w:pPr>
              <w:pStyle w:val="Compact"/>
            </w:pPr>
            <w:r>
              <w:t xml:space="preserve">High</w:t>
            </w:r>
          </w:p>
        </w:tc>
        <w:tc>
          <w:tcPr/>
          <w:p>
            <w:pPr>
              <w:pStyle w:val="Compact"/>
            </w:pPr>
            <w:r>
              <w:t xml:space="preserve">Full web/mobile app with accounts, dashboards, AI feedback, content library, admin console</w:t>
            </w:r>
          </w:p>
        </w:tc>
        <w:tc>
          <w:tcPr/>
          <w:p>
            <w:pPr>
              <w:pStyle w:val="Compact"/>
            </w:pPr>
            <w:r>
              <w:t xml:space="preserve">Engineering, security, ongoing maintenance, richer content</w:t>
            </w:r>
          </w:p>
        </w:tc>
        <w:tc>
          <w:tcPr/>
          <w:p>
            <w:pPr>
              <w:pStyle w:val="Compact"/>
              <w:jc w:val="right"/>
            </w:pPr>
            <w:r>
              <w:t xml:space="preserve">$20,000–$75,000+</w:t>
            </w:r>
            <w:r>
              <w:t xml:space="preserve"> </w:t>
            </w:r>
            <w:hyperlink r:id="rId46">
              <w:r>
                <w:rPr>
                  <w:rStyle w:val="Hyperlink"/>
                </w:rPr>
                <w:t xml:space="preserve">[59]</w:t>
              </w:r>
            </w:hyperlink>
          </w:p>
        </w:tc>
      </w:tr>
    </w:tbl>
    <w:p>
      <w:pPr>
        <w:pStyle w:val="BodyText"/>
      </w:pPr>
      <w:r>
        <w:t xml:space="preserve">A key note if you use a ServiceNow sandbox for practice: ServiceNow’s documentation is clear that PDIs are intended for learning/experimentation and</w:t>
      </w:r>
      <w:r>
        <w:t xml:space="preserve"> </w:t>
      </w:r>
      <w:r>
        <w:rPr>
          <w:b/>
          <w:bCs/>
        </w:rPr>
        <w:t xml:space="preserve">not for business or production</w:t>
      </w:r>
      <w:r>
        <w:t xml:space="preserve"> </w:t>
      </w:r>
      <w:r>
        <w:t xml:space="preserve">usage, so your product should not depend on using their sandbox as your commercial backend.</w:t>
      </w:r>
      <w:r>
        <w:t xml:space="preserve"> </w:t>
      </w:r>
      <w:hyperlink r:id="rId31">
        <w:r>
          <w:rPr>
            <w:rStyle w:val="Hyperlink"/>
          </w:rPr>
          <w:t xml:space="preserve">[16]</w:t>
        </w:r>
      </w:hyperlink>
    </w:p>
    <w:bookmarkEnd w:id="57"/>
    <w:bookmarkEnd w:id="58"/>
    <w:bookmarkStart w:id="61" w:name="risks-limitations-and-mitigation"/>
    <w:p>
      <w:pPr>
        <w:pStyle w:val="Heading2"/>
      </w:pPr>
      <w:r>
        <w:t xml:space="preserve">Risks, limitations, and mitigation</w:t>
      </w:r>
    </w:p>
    <w:bookmarkStart w:id="60" w:name="main-risks"/>
    <w:p>
      <w:pPr>
        <w:pStyle w:val="Heading3"/>
      </w:pPr>
      <w:r>
        <w:t xml:space="preserve">Main risks</w:t>
      </w:r>
    </w:p>
    <w:p>
      <w:pPr>
        <w:pStyle w:val="FirstParagraph"/>
      </w:pPr>
      <w:r>
        <w:rPr>
          <w:b/>
          <w:bCs/>
        </w:rPr>
        <w:t xml:space="preserve">Mismatch across organizations/tools</w:t>
      </w:r>
      <w:r>
        <w:br/>
      </w:r>
      <w:r>
        <w:t xml:space="preserve">Ticket fields and definitions vary (some orgs treat password resets as requests; others as incidents).</w:t>
      </w:r>
      <w:r>
        <w:t xml:space="preserve"> </w:t>
      </w:r>
      <w:hyperlink r:id="rId42">
        <w:r>
          <w:rPr>
            <w:rStyle w:val="Hyperlink"/>
          </w:rPr>
          <w:t xml:space="preserve">[35]</w:t>
        </w:r>
      </w:hyperlink>
      <w:r>
        <w:br/>
      </w:r>
      <w:r>
        <w:t xml:space="preserve">Mitigation: teach a</w:t>
      </w:r>
      <w:r>
        <w:t xml:space="preserve"> </w:t>
      </w:r>
      <w:r>
        <w:rPr>
          <w:b/>
          <w:bCs/>
        </w:rPr>
        <w:t xml:space="preserve">core universal structure</w:t>
      </w:r>
      <w:r>
        <w:t xml:space="preserve"> </w:t>
      </w:r>
      <w:r>
        <w:t xml:space="preserve">(subject, impact, environment, steps tried) and provide a “mapping guide” for common systems.</w:t>
      </w:r>
    </w:p>
    <w:p>
      <w:pPr>
        <w:pStyle w:val="BodyText"/>
      </w:pPr>
      <w:r>
        <w:rPr>
          <w:b/>
          <w:bCs/>
        </w:rPr>
        <w:t xml:space="preserve">Privacy and real data exposure</w:t>
      </w:r>
      <w:r>
        <w:br/>
      </w:r>
      <w:r>
        <w:t xml:space="preserve">If trainees copy real customer data into a practice tool, that’s a problem.</w:t>
      </w:r>
      <w:r>
        <w:t xml:space="preserve"> </w:t>
      </w:r>
      <w:hyperlink r:id="rId22">
        <w:r>
          <w:rPr>
            <w:rStyle w:val="Hyperlink"/>
          </w:rPr>
          <w:t xml:space="preserve">[60]</w:t>
        </w:r>
      </w:hyperlink>
      <w:r>
        <w:br/>
      </w:r>
      <w:r>
        <w:t xml:space="preserve">Mitigation: enforce</w:t>
      </w:r>
      <w:r>
        <w:t xml:space="preserve"> </w:t>
      </w:r>
      <w:r>
        <w:rPr>
          <w:b/>
          <w:bCs/>
        </w:rPr>
        <w:t xml:space="preserve">fake scenario content</w:t>
      </w:r>
      <w:r>
        <w:t xml:space="preserve">, warn explicitly, and offer only synthetic examples.</w:t>
      </w:r>
    </w:p>
    <w:p>
      <w:pPr>
        <w:pStyle w:val="BodyText"/>
      </w:pPr>
      <w:r>
        <w:rPr>
          <w:b/>
          <w:bCs/>
        </w:rPr>
        <w:t xml:space="preserve">Over-templating (agents stop thinking)</w:t>
      </w:r>
      <w:r>
        <w:br/>
      </w:r>
      <w:r>
        <w:t xml:space="preserve">Templates can improve speed but can also become “copy/paste without understanding.”</w:t>
      </w:r>
      <w:r>
        <w:t xml:space="preserve"> </w:t>
      </w:r>
      <w:hyperlink r:id="rId59">
        <w:r>
          <w:rPr>
            <w:rStyle w:val="Hyperlink"/>
          </w:rPr>
          <w:t xml:space="preserve">[61]</w:t>
        </w:r>
      </w:hyperlink>
      <w:r>
        <w:br/>
      </w:r>
      <w:r>
        <w:t xml:space="preserve">Mitigation: design drills that require free-text reasoning: “What did you try and what happened?”</w:t>
      </w:r>
    </w:p>
    <w:p>
      <w:pPr>
        <w:pStyle w:val="BodyText"/>
      </w:pPr>
      <w:r>
        <w:rPr>
          <w:b/>
          <w:bCs/>
        </w:rPr>
        <w:t xml:space="preserve">Low follow-through (people won’t practice)</w:t>
      </w:r>
      <w:r>
        <w:br/>
      </w:r>
      <w:r>
        <w:t xml:space="preserve">A workbook only works if people actually do the drills.</w:t>
      </w:r>
      <w:r>
        <w:t xml:space="preserve"> </w:t>
      </w:r>
      <w:hyperlink r:id="rId21">
        <w:r>
          <w:rPr>
            <w:rStyle w:val="Hyperlink"/>
          </w:rPr>
          <w:t xml:space="preserve">[62]</w:t>
        </w:r>
      </w:hyperlink>
      <w:r>
        <w:br/>
      </w:r>
      <w:r>
        <w:t xml:space="preserve">Mitigation: add “trainer mode” (weekly scores), and keep drills short (5–7 minutes).</w:t>
      </w:r>
    </w:p>
    <w:bookmarkEnd w:id="60"/>
    <w:bookmarkEnd w:id="61"/>
    <w:bookmarkStart w:id="63" w:name="deliverables-you-can-produce-and-sell"/>
    <w:p>
      <w:pPr>
        <w:pStyle w:val="Heading2"/>
      </w:pPr>
      <w:r>
        <w:t xml:space="preserve">Deliverables you can produce and sell</w:t>
      </w:r>
    </w:p>
    <w:p>
      <w:pPr>
        <w:pStyle w:val="FirstParagraph"/>
      </w:pPr>
      <w:r>
        <w:t xml:space="preserve">These deliverables are realistic for a first version and align with known training and QA practices.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Deliverable</w:t>
            </w:r>
          </w:p>
        </w:tc>
        <w:tc>
          <w:tcPr/>
          <w:p>
            <w:pPr>
              <w:pStyle w:val="Compact"/>
            </w:pPr>
            <w:r>
              <w:t xml:space="preserve">What it includes</w:t>
            </w:r>
          </w:p>
        </w:tc>
        <w:tc>
          <w:tcPr/>
          <w:p>
            <w:pPr>
              <w:pStyle w:val="Compact"/>
            </w:pPr>
            <w:r>
              <w:t xml:space="preserve">Why it’s valuable</w:t>
            </w:r>
          </w:p>
        </w:tc>
      </w:tr>
      <w:tr>
        <w:tc>
          <w:tcPr/>
          <w:p>
            <w:pPr>
              <w:pStyle w:val="Compact"/>
            </w:pPr>
            <w:r>
              <w:t xml:space="preserve">Tier 1 Ticket Writing Workbook (short book)</w:t>
            </w:r>
          </w:p>
        </w:tc>
        <w:tc>
          <w:tcPr/>
          <w:p>
            <w:pPr>
              <w:pStyle w:val="Compact"/>
            </w:pPr>
            <w:r>
              <w:t xml:space="preserve">10–15 rules, “good vs bad” examples, drills, answer keys</w:t>
            </w:r>
          </w:p>
        </w:tc>
        <w:tc>
          <w:tcPr/>
          <w:p>
            <w:pPr>
              <w:pStyle w:val="Compact"/>
            </w:pPr>
            <w:r>
              <w:t xml:space="preserve">Fast to ship; easy to use during onboarding.</w:t>
            </w:r>
            <w:r>
              <w:t xml:space="preserve"> </w:t>
            </w:r>
            <w:hyperlink r:id="rId28">
              <w:r>
                <w:rPr>
                  <w:rStyle w:val="Hyperlink"/>
                </w:rPr>
                <w:t xml:space="preserve">[63]</w:t>
              </w:r>
            </w:hyperlink>
          </w:p>
        </w:tc>
      </w:tr>
      <w:tr>
        <w:tc>
          <w:tcPr/>
          <w:p>
            <w:pPr>
              <w:pStyle w:val="Compact"/>
            </w:pPr>
            <w:r>
              <w:t xml:space="preserve">Scoring rubric (one page)</w:t>
            </w:r>
          </w:p>
        </w:tc>
        <w:tc>
          <w:tcPr/>
          <w:p>
            <w:pPr>
              <w:pStyle w:val="Compact"/>
            </w:pPr>
            <w:r>
              <w:t xml:space="preserve">10–12 attributes scored yes/no + percentage score</w:t>
            </w:r>
          </w:p>
        </w:tc>
        <w:tc>
          <w:tcPr/>
          <w:p>
            <w:pPr>
              <w:pStyle w:val="Compact"/>
            </w:pPr>
            <w:r>
              <w:t xml:space="preserve">Mirrors QA scorecard thinking and makes progress measurable.</w:t>
            </w:r>
            <w:r>
              <w:t xml:space="preserve"> </w:t>
            </w:r>
            <w:hyperlink r:id="rId24">
              <w:r>
                <w:rPr>
                  <w:rStyle w:val="Hyperlink"/>
                </w:rPr>
                <w:t xml:space="preserve">[39]</w:t>
              </w:r>
            </w:hyperlink>
          </w:p>
        </w:tc>
      </w:tr>
      <w:tr>
        <w:tc>
          <w:tcPr/>
          <w:p>
            <w:pPr>
              <w:pStyle w:val="Compact"/>
            </w:pPr>
            <w:r>
              <w:t xml:space="preserve">Scenario pack</w:t>
            </w:r>
          </w:p>
        </w:tc>
        <w:tc>
          <w:tcPr/>
          <w:p>
            <w:pPr>
              <w:pStyle w:val="Compact"/>
            </w:pPr>
            <w:r>
              <w:t xml:space="preserve">50–200 scenarios split by incident vs request and by domain (password, VPN, printer, access, laptop)</w:t>
            </w:r>
          </w:p>
        </w:tc>
        <w:tc>
          <w:tcPr/>
          <w:p>
            <w:pPr>
              <w:pStyle w:val="Compact"/>
            </w:pPr>
            <w:r>
              <w:t xml:space="preserve">Enables “typing tutor” repetition.</w:t>
            </w:r>
            <w:r>
              <w:t xml:space="preserve"> </w:t>
            </w:r>
            <w:hyperlink r:id="rId25">
              <w:r>
                <w:rPr>
                  <w:rStyle w:val="Hyperlink"/>
                </w:rPr>
                <w:t xml:space="preserve">[24]</w:t>
              </w:r>
            </w:hyperlink>
          </w:p>
        </w:tc>
      </w:tr>
      <w:tr>
        <w:tc>
          <w:tcPr/>
          <w:p>
            <w:pPr>
              <w:pStyle w:val="Compact"/>
            </w:pPr>
            <w:r>
              <w:t xml:space="preserve">“Ticket field cheat sheet”</w:t>
            </w:r>
          </w:p>
        </w:tc>
        <w:tc>
          <w:tcPr/>
          <w:p>
            <w:pPr>
              <w:pStyle w:val="Compact"/>
            </w:pPr>
            <w:r>
              <w:t xml:space="preserve">What each field means (impact, urgency, category, resolution notes)</w:t>
            </w:r>
          </w:p>
        </w:tc>
        <w:tc>
          <w:tcPr/>
          <w:p>
            <w:pPr>
              <w:pStyle w:val="Compact"/>
            </w:pPr>
            <w:r>
              <w:t xml:space="preserve">Reduces missing info and inconsistency.</w:t>
            </w:r>
            <w:r>
              <w:t xml:space="preserve"> </w:t>
            </w:r>
            <w:hyperlink r:id="rId22">
              <w:r>
                <w:rPr>
                  <w:rStyle w:val="Hyperlink"/>
                </w:rPr>
                <w:t xml:space="preserve">[33]</w:t>
              </w:r>
            </w:hyperlink>
          </w:p>
        </w:tc>
      </w:tr>
      <w:tr>
        <w:tc>
          <w:tcPr/>
          <w:p>
            <w:pPr>
              <w:pStyle w:val="Compact"/>
            </w:pPr>
            <w:r>
              <w:t xml:space="preserve">Trainer guide</w:t>
            </w:r>
          </w:p>
        </w:tc>
        <w:tc>
          <w:tcPr/>
          <w:p>
            <w:pPr>
              <w:pStyle w:val="Compact"/>
            </w:pPr>
            <w:r>
              <w:t xml:space="preserve">How to run a 2–3 week ticket-writing bootcamp, how to score, what passing means</w:t>
            </w:r>
          </w:p>
        </w:tc>
        <w:tc>
          <w:tcPr/>
          <w:p>
            <w:pPr>
              <w:pStyle w:val="Compact"/>
            </w:pPr>
            <w:r>
              <w:t xml:space="preserve">Helps supervisors standardize coaching and documentation culture.</w:t>
            </w:r>
            <w:r>
              <w:t xml:space="preserve"> </w:t>
            </w:r>
            <w:hyperlink r:id="rId21">
              <w:r>
                <w:rPr>
                  <w:rStyle w:val="Hyperlink"/>
                </w:rPr>
                <w:t xml:space="preserve">[5]</w:t>
              </w:r>
            </w:hyperlink>
          </w:p>
        </w:tc>
      </w:tr>
      <w:tr>
        <w:tc>
          <w:tcPr/>
          <w:p>
            <w:pPr>
              <w:pStyle w:val="Compact"/>
            </w:pPr>
            <w:r>
              <w:t xml:space="preserve">Optional: web practice form</w:t>
            </w:r>
          </w:p>
        </w:tc>
        <w:tc>
          <w:tcPr/>
          <w:p>
            <w:pPr>
              <w:pStyle w:val="Compact"/>
            </w:pPr>
            <w:r>
              <w:t xml:space="preserve">Scenario → form → auto-check required fields → score</w:t>
            </w:r>
          </w:p>
        </w:tc>
        <w:tc>
          <w:tcPr/>
          <w:p>
            <w:pPr>
              <w:pStyle w:val="Compact"/>
            </w:pPr>
            <w:r>
              <w:t xml:space="preserve">Creates the “utility tool” feel you’re aiming for.</w:t>
            </w:r>
            <w:r>
              <w:t xml:space="preserve"> </w:t>
            </w:r>
            <w:hyperlink r:id="rId24">
              <w:r>
                <w:rPr>
                  <w:rStyle w:val="Hyperlink"/>
                </w:rPr>
                <w:t xml:space="preserve">[31]</w:t>
              </w:r>
            </w:hyperlink>
          </w:p>
        </w:tc>
      </w:tr>
    </w:tbl>
    <w:bookmarkStart w:id="62" w:name="simple-process-flow-for-the-app-version"/>
    <w:p>
      <w:pPr>
        <w:pStyle w:val="Heading3"/>
      </w:pPr>
      <w:r>
        <w:t xml:space="preserve">Simple process flow for the app version</w:t>
      </w:r>
    </w:p>
    <w:p>
      <w:pPr>
        <w:pStyle w:val="SourceCode"/>
      </w:pPr>
      <w:r>
        <w:rPr>
          <w:rStyle w:val="VerbatimChar"/>
        </w:rPr>
        <w:t xml:space="preserve">flowchart TD</w:t>
      </w:r>
      <w:r>
        <w:br/>
      </w:r>
      <w:r>
        <w:rPr>
          <w:rStyle w:val="VerbatimChar"/>
        </w:rPr>
        <w:t xml:space="preserve">  A[Pick a scenario\n(Incident or Service Request)] --&gt; B[Fill out ticket fields\nTitle, Impact, Steps tried, etc.]</w:t>
      </w:r>
      <w:r>
        <w:br/>
      </w:r>
      <w:r>
        <w:rPr>
          <w:rStyle w:val="VerbatimChar"/>
        </w:rPr>
        <w:t xml:space="preserve">  B --&gt; C{Required info present?}</w:t>
      </w:r>
      <w:r>
        <w:br/>
      </w:r>
      <w:r>
        <w:rPr>
          <w:rStyle w:val="VerbatimChar"/>
        </w:rPr>
        <w:t xml:space="preserve">  C --&gt;|No| D[Hints:\nAsk user / capture environment\nAdd error text/screenshots]</w:t>
      </w:r>
      <w:r>
        <w:br/>
      </w:r>
      <w:r>
        <w:rPr>
          <w:rStyle w:val="VerbatimChar"/>
        </w:rPr>
        <w:t xml:space="preserve">  C --&gt;|Yes| E[Score with rubric\n0-100%]</w:t>
      </w:r>
      <w:r>
        <w:br/>
      </w:r>
      <w:r>
        <w:rPr>
          <w:rStyle w:val="VerbatimChar"/>
        </w:rPr>
        <w:t xml:space="preserve">  E --&gt; F[Show model ticket + feedback\nWhat to add/remove]</w:t>
      </w:r>
      <w:r>
        <w:br/>
      </w:r>
      <w:r>
        <w:rPr>
          <w:rStyle w:val="VerbatimChar"/>
        </w:rPr>
        <w:t xml:space="preserve">  F --&gt; G[Rewrite + rescore]</w:t>
      </w:r>
      <w:r>
        <w:br/>
      </w:r>
      <w:r>
        <w:rPr>
          <w:rStyle w:val="VerbatimChar"/>
        </w:rPr>
        <w:t xml:space="preserve">  G --&gt; H[Track progress over time\nStreaks, weak areas]</w:t>
      </w:r>
    </w:p>
    <w:bookmarkEnd w:id="62"/>
    <w:bookmarkEnd w:id="63"/>
    <w:bookmarkStart w:id="64" w:name="X95fd511de08f5858079de593f9fde19fa9112c7"/>
    <w:p>
      <w:pPr>
        <w:pStyle w:val="Heading2"/>
      </w:pPr>
      <w:r>
        <w:t xml:space="preserve">Prioritized sources you should base your content on</w:t>
      </w:r>
    </w:p>
    <w:p>
      <w:pPr>
        <w:pStyle w:val="FirstParagraph"/>
      </w:pPr>
      <w:r>
        <w:t xml:space="preserve">Because you didn’t specify a geography or employer, the most portable sources are the ones that define the work and the documentation behavior:</w:t>
      </w:r>
    </w:p>
    <w:p>
      <w:pPr>
        <w:pStyle w:val="Compact"/>
        <w:numPr>
          <w:ilvl w:val="0"/>
          <w:numId w:val="1010"/>
        </w:numPr>
      </w:pPr>
      <w:r>
        <w:t xml:space="preserve">Occupational definitions (what the job requires): BLS and O*NET.</w:t>
      </w:r>
      <w:r>
        <w:t xml:space="preserve"> </w:t>
      </w:r>
      <w:hyperlink r:id="rId23">
        <w:r>
          <w:rPr>
            <w:rStyle w:val="Hyperlink"/>
          </w:rPr>
          <w:t xml:space="preserve">[9]</w:t>
        </w:r>
      </w:hyperlink>
    </w:p>
    <w:p>
      <w:pPr>
        <w:pStyle w:val="Compact"/>
        <w:numPr>
          <w:ilvl w:val="0"/>
          <w:numId w:val="1010"/>
        </w:numPr>
      </w:pPr>
      <w:r>
        <w:t xml:space="preserve">ITSM definitions and process expectations: incident vs service request guidance; ServiceNow incident steps/logging; Atlassian service request explanations.</w:t>
      </w:r>
      <w:r>
        <w:t xml:space="preserve"> </w:t>
      </w:r>
      <w:hyperlink r:id="rId42">
        <w:r>
          <w:rPr>
            <w:rStyle w:val="Hyperlink"/>
          </w:rPr>
          <w:t xml:space="preserve">[64]</w:t>
        </w:r>
      </w:hyperlink>
    </w:p>
    <w:p>
      <w:pPr>
        <w:pStyle w:val="Compact"/>
        <w:numPr>
          <w:ilvl w:val="0"/>
          <w:numId w:val="1010"/>
        </w:numPr>
      </w:pPr>
      <w:r>
        <w:t xml:space="preserve">Documentation and knowledge practices: KCS Practices Guide (capture requestor context, capture resolution) and the “documentation counts” training perspective.</w:t>
      </w:r>
      <w:r>
        <w:t xml:space="preserve"> </w:t>
      </w:r>
      <w:hyperlink r:id="rId27">
        <w:r>
          <w:rPr>
            <w:rStyle w:val="Hyperlink"/>
          </w:rPr>
          <w:t xml:space="preserve">[65]</w:t>
        </w:r>
      </w:hyperlink>
    </w:p>
    <w:p>
      <w:pPr>
        <w:pStyle w:val="Compact"/>
        <w:numPr>
          <w:ilvl w:val="0"/>
          <w:numId w:val="1010"/>
        </w:numPr>
      </w:pPr>
      <w:r>
        <w:t xml:space="preserve">Scoring and QA patterns: Zendesk QA scorecard concepts and ticket templates (for consistency).</w:t>
      </w:r>
      <w:r>
        <w:t xml:space="preserve"> </w:t>
      </w:r>
      <w:hyperlink r:id="rId24">
        <w:r>
          <w:rPr>
            <w:rStyle w:val="Hyperlink"/>
          </w:rPr>
          <w:t xml:space="preserve">[66]</w:t>
        </w:r>
      </w:hyperlink>
    </w:p>
    <w:p>
      <w:pPr>
        <w:pStyle w:val="Compact"/>
        <w:numPr>
          <w:ilvl w:val="0"/>
          <w:numId w:val="1010"/>
        </w:numPr>
      </w:pPr>
      <w:r>
        <w:t xml:space="preserve">Practical simulation evidence: the existence of hands-on ticket/documentation exams shows there is a market for realistic practice.</w:t>
      </w:r>
      <w:r>
        <w:t xml:space="preserve"> </w:t>
      </w:r>
      <w:hyperlink r:id="rId25">
        <w:r>
          <w:rPr>
            <w:rStyle w:val="Hyperlink"/>
          </w:rPr>
          <w:t xml:space="preserve">[24]</w:t>
        </w:r>
      </w:hyperlink>
    </w:p>
    <w:bookmarkEnd w:id="64"/>
    <w:bookmarkEnd w:id="65"/>
    <w:bookmarkEnd w:id="66"/>
    <w:p>
      <w:r>
        <w:pict>
          <v:rect style="width:0;height:1.5pt" o:hralign="center" o:hrstd="t" o:hr="t"/>
        </w:pict>
      </w:r>
    </w:p>
    <w:bookmarkStart w:id="67"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[12]</w:t>
        </w:r>
      </w:hyperlink>
      <w:r>
        <w:t xml:space="preserve"> </w:t>
      </w:r>
      <w:hyperlink r:id="rId21">
        <w:r>
          <w:rPr>
            <w:rStyle w:val="Hyperlink"/>
          </w:rPr>
          <w:t xml:space="preserve">[15]</w:t>
        </w:r>
      </w:hyperlink>
      <w:r>
        <w:t xml:space="preserve"> </w:t>
      </w:r>
      <w:hyperlink r:id="rId21">
        <w:r>
          <w:rPr>
            <w:rStyle w:val="Hyperlink"/>
          </w:rPr>
          <w:t xml:space="preserve">[23]</w:t>
        </w:r>
      </w:hyperlink>
      <w:r>
        <w:t xml:space="preserve"> </w:t>
      </w:r>
      <w:hyperlink r:id="rId21">
        <w:r>
          <w:rPr>
            <w:rStyle w:val="Hyperlink"/>
          </w:rPr>
          <w:t xml:space="preserve">[43]</w:t>
        </w:r>
      </w:hyperlink>
      <w:r>
        <w:t xml:space="preserve"> </w:t>
      </w:r>
      <w:hyperlink r:id="rId21">
        <w:r>
          <w:rPr>
            <w:rStyle w:val="Hyperlink"/>
          </w:rPr>
          <w:t xml:space="preserve">[48]</w:t>
        </w:r>
      </w:hyperlink>
      <w:r>
        <w:t xml:space="preserve"> </w:t>
      </w:r>
      <w:hyperlink r:id="rId21">
        <w:r>
          <w:rPr>
            <w:rStyle w:val="Hyperlink"/>
          </w:rPr>
          <w:t xml:space="preserve">[52]</w:t>
        </w:r>
      </w:hyperlink>
      <w:r>
        <w:t xml:space="preserve"> </w:t>
      </w:r>
      <w:hyperlink r:id="rId21">
        <w:r>
          <w:rPr>
            <w:rStyle w:val="Hyperlink"/>
          </w:rPr>
          <w:t xml:space="preserve">[62]</w:t>
        </w:r>
      </w:hyperlink>
      <w:r>
        <w:t xml:space="preserve"> </w:t>
      </w:r>
      <w:r>
        <w:t xml:space="preserve">Documentation Counts!</w:t>
      </w:r>
    </w:p>
    <w:p>
      <w:pPr>
        <w:pStyle w:val="BodyText"/>
      </w:pPr>
      <w:hyperlink r:id="rId21">
        <w:r>
          <w:rPr>
            <w:rStyle w:val="Hyperlink"/>
          </w:rPr>
          <w:t xml:space="preserve">https://www.thinkhdi.com/library/supportworld/2017/documentation-counts</w:t>
        </w:r>
      </w:hyperlink>
    </w:p>
    <w:p>
      <w:pPr>
        <w:pStyle w:val="BodyText"/>
      </w:pPr>
      <w:hyperlink r:id="rId22">
        <w:r>
          <w:rPr>
            <w:rStyle w:val="Hyperlink"/>
          </w:rPr>
          <w:t xml:space="preserve">[2]</w:t>
        </w:r>
      </w:hyperlink>
      <w:r>
        <w:t xml:space="preserve"> </w:t>
      </w:r>
      <w:hyperlink r:id="rId22">
        <w:r>
          <w:rPr>
            <w:rStyle w:val="Hyperlink"/>
          </w:rPr>
          <w:t xml:space="preserve">[10]</w:t>
        </w:r>
      </w:hyperlink>
      <w:r>
        <w:t xml:space="preserve"> </w:t>
      </w:r>
      <w:hyperlink r:id="rId22">
        <w:r>
          <w:rPr>
            <w:rStyle w:val="Hyperlink"/>
          </w:rPr>
          <w:t xml:space="preserve">[17]</w:t>
        </w:r>
      </w:hyperlink>
      <w:r>
        <w:t xml:space="preserve"> </w:t>
      </w:r>
      <w:hyperlink r:id="rId22">
        <w:r>
          <w:rPr>
            <w:rStyle w:val="Hyperlink"/>
          </w:rPr>
          <w:t xml:space="preserve">[29]</w:t>
        </w:r>
      </w:hyperlink>
      <w:r>
        <w:t xml:space="preserve"> </w:t>
      </w:r>
      <w:hyperlink r:id="rId22">
        <w:r>
          <w:rPr>
            <w:rStyle w:val="Hyperlink"/>
          </w:rPr>
          <w:t xml:space="preserve">[33]</w:t>
        </w:r>
      </w:hyperlink>
      <w:r>
        <w:t xml:space="preserve"> </w:t>
      </w:r>
      <w:hyperlink r:id="rId22">
        <w:r>
          <w:rPr>
            <w:rStyle w:val="Hyperlink"/>
          </w:rPr>
          <w:t xml:space="preserve">[41]</w:t>
        </w:r>
      </w:hyperlink>
      <w:r>
        <w:t xml:space="preserve"> </w:t>
      </w:r>
      <w:hyperlink r:id="rId22">
        <w:r>
          <w:rPr>
            <w:rStyle w:val="Hyperlink"/>
          </w:rPr>
          <w:t xml:space="preserve">[46]</w:t>
        </w:r>
      </w:hyperlink>
      <w:r>
        <w:t xml:space="preserve"> </w:t>
      </w:r>
      <w:hyperlink r:id="rId22">
        <w:r>
          <w:rPr>
            <w:rStyle w:val="Hyperlink"/>
          </w:rPr>
          <w:t xml:space="preserve">[60]</w:t>
        </w:r>
      </w:hyperlink>
      <w:r>
        <w:t xml:space="preserve"> </w:t>
      </w:r>
      <w:r>
        <w:t xml:space="preserve">What is Incident Management? - ServiceNow</w:t>
      </w:r>
    </w:p>
    <w:p>
      <w:pPr>
        <w:pStyle w:val="BodyText"/>
      </w:pPr>
      <w:hyperlink r:id="rId22">
        <w:r>
          <w:rPr>
            <w:rStyle w:val="Hyperlink"/>
          </w:rPr>
          <w:t xml:space="preserve">https://www.servicenow.com/products/itsm/what-is-incident-management.html</w:t>
        </w:r>
      </w:hyperlink>
    </w:p>
    <w:p>
      <w:pPr>
        <w:pStyle w:val="BodyText"/>
      </w:pPr>
      <w:hyperlink r:id="rId23">
        <w:r>
          <w:rPr>
            <w:rStyle w:val="Hyperlink"/>
          </w:rPr>
          <w:t xml:space="preserve">[3]</w:t>
        </w:r>
      </w:hyperlink>
      <w:r>
        <w:t xml:space="preserve"> </w:t>
      </w:r>
      <w:hyperlink r:id="rId23">
        <w:r>
          <w:rPr>
            <w:rStyle w:val="Hyperlink"/>
          </w:rPr>
          <w:t xml:space="preserve">[7]</w:t>
        </w:r>
      </w:hyperlink>
      <w:r>
        <w:t xml:space="preserve"> </w:t>
      </w:r>
      <w:hyperlink r:id="rId23">
        <w:r>
          <w:rPr>
            <w:rStyle w:val="Hyperlink"/>
          </w:rPr>
          <w:t xml:space="preserve">[9]</w:t>
        </w:r>
      </w:hyperlink>
      <w:r>
        <w:t xml:space="preserve"> </w:t>
      </w:r>
      <w:r>
        <w:t xml:space="preserve"> </w:t>
      </w:r>
      <w:r>
        <w:t xml:space="preserve">Computer Support Specialists : Occupational Outlook Handbook: : U.S. Bureau of Labor Statistics</w:t>
      </w:r>
    </w:p>
    <w:p>
      <w:pPr>
        <w:pStyle w:val="BodyText"/>
      </w:pPr>
      <w:hyperlink r:id="rId23">
        <w:r>
          <w:rPr>
            <w:rStyle w:val="Hyperlink"/>
          </w:rPr>
          <w:t xml:space="preserve">https://www.bls.gov/ooh/computer-and-information-technology/computer-support-specialists.htm</w:t>
        </w:r>
      </w:hyperlink>
    </w:p>
    <w:p>
      <w:pPr>
        <w:pStyle w:val="BodyText"/>
      </w:pPr>
      <w:hyperlink r:id="rId24">
        <w:r>
          <w:rPr>
            <w:rStyle w:val="Hyperlink"/>
          </w:rPr>
          <w:t xml:space="preserve">[4]</w:t>
        </w:r>
      </w:hyperlink>
      <w:r>
        <w:t xml:space="preserve"> </w:t>
      </w:r>
      <w:hyperlink r:id="rId24">
        <w:r>
          <w:rPr>
            <w:rStyle w:val="Hyperlink"/>
          </w:rPr>
          <w:t xml:space="preserve">[8]</w:t>
        </w:r>
      </w:hyperlink>
      <w:r>
        <w:t xml:space="preserve"> </w:t>
      </w:r>
      <w:hyperlink r:id="rId24">
        <w:r>
          <w:rPr>
            <w:rStyle w:val="Hyperlink"/>
          </w:rPr>
          <w:t xml:space="preserve">[25]</w:t>
        </w:r>
      </w:hyperlink>
      <w:r>
        <w:t xml:space="preserve"> </w:t>
      </w:r>
      <w:hyperlink r:id="rId24">
        <w:r>
          <w:rPr>
            <w:rStyle w:val="Hyperlink"/>
          </w:rPr>
          <w:t xml:space="preserve">[28]</w:t>
        </w:r>
      </w:hyperlink>
      <w:r>
        <w:t xml:space="preserve"> </w:t>
      </w:r>
      <w:hyperlink r:id="rId24">
        <w:r>
          <w:rPr>
            <w:rStyle w:val="Hyperlink"/>
          </w:rPr>
          <w:t xml:space="preserve">[30]</w:t>
        </w:r>
      </w:hyperlink>
      <w:r>
        <w:t xml:space="preserve"> </w:t>
      </w:r>
      <w:hyperlink r:id="rId24">
        <w:r>
          <w:rPr>
            <w:rStyle w:val="Hyperlink"/>
          </w:rPr>
          <w:t xml:space="preserve">[31]</w:t>
        </w:r>
      </w:hyperlink>
      <w:r>
        <w:t xml:space="preserve"> </w:t>
      </w:r>
      <w:hyperlink r:id="rId24">
        <w:r>
          <w:rPr>
            <w:rStyle w:val="Hyperlink"/>
          </w:rPr>
          <w:t xml:space="preserve">[39]</w:t>
        </w:r>
      </w:hyperlink>
      <w:r>
        <w:t xml:space="preserve"> </w:t>
      </w:r>
      <w:hyperlink r:id="rId24">
        <w:r>
          <w:rPr>
            <w:rStyle w:val="Hyperlink"/>
          </w:rPr>
          <w:t xml:space="preserve">[66]</w:t>
        </w:r>
      </w:hyperlink>
      <w:r>
        <w:t xml:space="preserve"> </w:t>
      </w:r>
      <w:r>
        <w:t xml:space="preserve">https://www.zendesk.com/blog/qa-scorecard/</w:t>
      </w:r>
    </w:p>
    <w:p>
      <w:pPr>
        <w:pStyle w:val="BodyText"/>
      </w:pPr>
      <w:hyperlink r:id="rId24">
        <w:r>
          <w:rPr>
            <w:rStyle w:val="Hyperlink"/>
          </w:rPr>
          <w:t xml:space="preserve">https://www.zendesk.com/blog/qa-scorecard/</w:t>
        </w:r>
      </w:hyperlink>
    </w:p>
    <w:p>
      <w:pPr>
        <w:pStyle w:val="BodyText"/>
      </w:pPr>
      <w:hyperlink r:id="rId25">
        <w:r>
          <w:rPr>
            <w:rStyle w:val="Hyperlink"/>
          </w:rPr>
          <w:t xml:space="preserve">[6]</w:t>
        </w:r>
      </w:hyperlink>
      <w:r>
        <w:t xml:space="preserve"> </w:t>
      </w:r>
      <w:hyperlink r:id="rId25">
        <w:r>
          <w:rPr>
            <w:rStyle w:val="Hyperlink"/>
          </w:rPr>
          <w:t xml:space="preserve">[24]</w:t>
        </w:r>
      </w:hyperlink>
      <w:r>
        <w:t xml:space="preserve"> </w:t>
      </w:r>
      <w:hyperlink r:id="rId25">
        <w:r>
          <w:rPr>
            <w:rStyle w:val="Hyperlink"/>
          </w:rPr>
          <w:t xml:space="preserve">[47]</w:t>
        </w:r>
      </w:hyperlink>
      <w:r>
        <w:t xml:space="preserve"> </w:t>
      </w:r>
      <w:r>
        <w:t xml:space="preserve">https://certifications.tcm-sec.com/phda/</w:t>
      </w:r>
    </w:p>
    <w:p>
      <w:pPr>
        <w:pStyle w:val="BodyText"/>
      </w:pPr>
      <w:hyperlink r:id="rId25">
        <w:r>
          <w:rPr>
            <w:rStyle w:val="Hyperlink"/>
          </w:rPr>
          <w:t xml:space="preserve">https://certifications.tcm-sec.com/phda/</w:t>
        </w:r>
      </w:hyperlink>
    </w:p>
    <w:p>
      <w:pPr>
        <w:pStyle w:val="BodyText"/>
      </w:pPr>
      <w:hyperlink r:id="rId27">
        <w:r>
          <w:rPr>
            <w:rStyle w:val="Hyperlink"/>
          </w:rPr>
          <w:t xml:space="preserve">[11]</w:t>
        </w:r>
      </w:hyperlink>
      <w:r>
        <w:t xml:space="preserve"> </w:t>
      </w:r>
      <w:hyperlink r:id="rId27">
        <w:r>
          <w:rPr>
            <w:rStyle w:val="Hyperlink"/>
          </w:rPr>
          <w:t xml:space="preserve">[32]</w:t>
        </w:r>
      </w:hyperlink>
      <w:r>
        <w:t xml:space="preserve"> </w:t>
      </w:r>
      <w:hyperlink r:id="rId27">
        <w:r>
          <w:rPr>
            <w:rStyle w:val="Hyperlink"/>
          </w:rPr>
          <w:t xml:space="preserve">[37]</w:t>
        </w:r>
      </w:hyperlink>
      <w:r>
        <w:t xml:space="preserve"> </w:t>
      </w:r>
      <w:hyperlink r:id="rId27">
        <w:r>
          <w:rPr>
            <w:rStyle w:val="Hyperlink"/>
          </w:rPr>
          <w:t xml:space="preserve">[38]</w:t>
        </w:r>
      </w:hyperlink>
      <w:r>
        <w:t xml:space="preserve"> </w:t>
      </w:r>
      <w:hyperlink r:id="rId27">
        <w:r>
          <w:rPr>
            <w:rStyle w:val="Hyperlink"/>
          </w:rPr>
          <w:t xml:space="preserve">[51]</w:t>
        </w:r>
      </w:hyperlink>
      <w:r>
        <w:t xml:space="preserve"> </w:t>
      </w:r>
      <w:hyperlink r:id="rId27">
        <w:r>
          <w:rPr>
            <w:rStyle w:val="Hyperlink"/>
          </w:rPr>
          <w:t xml:space="preserve">[54]</w:t>
        </w:r>
      </w:hyperlink>
      <w:r>
        <w:t xml:space="preserve"> </w:t>
      </w:r>
      <w:hyperlink r:id="rId27">
        <w:r>
          <w:rPr>
            <w:rStyle w:val="Hyperlink"/>
          </w:rPr>
          <w:t xml:space="preserve">[65]</w:t>
        </w:r>
      </w:hyperlink>
      <w:r>
        <w:t xml:space="preserve"> </w:t>
      </w:r>
      <w:r>
        <w:t xml:space="preserve">https://www.serviceinnovation.org/included/docs/KCS_v6_Practices_Guide_2023_06_08.pdf</w:t>
      </w:r>
    </w:p>
    <w:p>
      <w:pPr>
        <w:pStyle w:val="BodyText"/>
      </w:pPr>
      <w:hyperlink r:id="rId27">
        <w:r>
          <w:rPr>
            <w:rStyle w:val="Hyperlink"/>
          </w:rPr>
          <w:t xml:space="preserve">https://www.serviceinnovation.org/included/docs/KCS_v6_Practices_Guide_2023_06_08.pdf</w:t>
        </w:r>
      </w:hyperlink>
    </w:p>
    <w:p>
      <w:pPr>
        <w:pStyle w:val="BodyText"/>
      </w:pPr>
      <w:hyperlink r:id="rId28">
        <w:r>
          <w:rPr>
            <w:rStyle w:val="Hyperlink"/>
          </w:rPr>
          <w:t xml:space="preserve">[13]</w:t>
        </w:r>
      </w:hyperlink>
      <w:r>
        <w:t xml:space="preserve"> </w:t>
      </w:r>
      <w:hyperlink r:id="rId28">
        <w:r>
          <w:rPr>
            <w:rStyle w:val="Hyperlink"/>
          </w:rPr>
          <w:t xml:space="preserve">[36]</w:t>
        </w:r>
      </w:hyperlink>
      <w:r>
        <w:t xml:space="preserve"> </w:t>
      </w:r>
      <w:hyperlink r:id="rId28">
        <w:r>
          <w:rPr>
            <w:rStyle w:val="Hyperlink"/>
          </w:rPr>
          <w:t xml:space="preserve">[40]</w:t>
        </w:r>
      </w:hyperlink>
      <w:r>
        <w:t xml:space="preserve"> </w:t>
      </w:r>
      <w:hyperlink r:id="rId28">
        <w:r>
          <w:rPr>
            <w:rStyle w:val="Hyperlink"/>
          </w:rPr>
          <w:t xml:space="preserve">[42]</w:t>
        </w:r>
      </w:hyperlink>
      <w:r>
        <w:t xml:space="preserve"> </w:t>
      </w:r>
      <w:hyperlink r:id="rId28">
        <w:r>
          <w:rPr>
            <w:rStyle w:val="Hyperlink"/>
          </w:rPr>
          <w:t xml:space="preserve">[63]</w:t>
        </w:r>
      </w:hyperlink>
      <w:r>
        <w:t xml:space="preserve"> </w:t>
      </w:r>
      <w:r>
        <w:t xml:space="preserve">How to Write Effective Support Tickets for Streamlined Solutions – 12twenty Support</w:t>
      </w:r>
    </w:p>
    <w:p>
      <w:pPr>
        <w:pStyle w:val="BodyText"/>
      </w:pPr>
      <w:hyperlink r:id="rId28">
        <w:r>
          <w:rPr>
            <w:rStyle w:val="Hyperlink"/>
          </w:rPr>
          <w:t xml:space="preserve">https://12twenty.zendesk.com/hc/en-us/articles/30048929152787-How-to-Write-Effective-Support-Tickets-for-Streamlined-Solutions</w:t>
        </w:r>
      </w:hyperlink>
    </w:p>
    <w:p>
      <w:pPr>
        <w:pStyle w:val="BodyText"/>
      </w:pPr>
      <w:hyperlink r:id="rId29">
        <w:r>
          <w:rPr>
            <w:rStyle w:val="Hyperlink"/>
          </w:rPr>
          <w:t xml:space="preserve">[14]</w:t>
        </w:r>
      </w:hyperlink>
      <w:r>
        <w:t xml:space="preserve"> </w:t>
      </w:r>
      <w:r>
        <w:t xml:space="preserve">15-1232.00 - Computer User Support Specialists</w:t>
      </w:r>
    </w:p>
    <w:p>
      <w:pPr>
        <w:pStyle w:val="BodyText"/>
      </w:pPr>
      <w:hyperlink r:id="rId29">
        <w:r>
          <w:rPr>
            <w:rStyle w:val="Hyperlink"/>
          </w:rPr>
          <w:t xml:space="preserve">https://www.onetonline.org/link/summary/15-1232.00</w:t>
        </w:r>
      </w:hyperlink>
    </w:p>
    <w:p>
      <w:pPr>
        <w:pStyle w:val="BodyText"/>
      </w:pPr>
      <w:hyperlink r:id="rId31">
        <w:r>
          <w:rPr>
            <w:rStyle w:val="Hyperlink"/>
          </w:rPr>
          <w:t xml:space="preserve">[16]</w:t>
        </w:r>
      </w:hyperlink>
      <w:r>
        <w:t xml:space="preserve"> </w:t>
      </w:r>
      <w:r>
        <w:t xml:space="preserve">https://www.servicenow.com/docs/r/washingtondc/application-development/personal_developer_instance_guide.html</w:t>
      </w:r>
    </w:p>
    <w:p>
      <w:pPr>
        <w:pStyle w:val="BodyText"/>
      </w:pPr>
      <w:hyperlink r:id="rId31">
        <w:r>
          <w:rPr>
            <w:rStyle w:val="Hyperlink"/>
          </w:rPr>
          <w:t xml:space="preserve">https://www.servicenow.com/docs/r/washingtondc/application-development/personal_developer_instance_guide.html</w:t>
        </w:r>
      </w:hyperlink>
    </w:p>
    <w:p>
      <w:pPr>
        <w:pStyle w:val="BodyText"/>
      </w:pPr>
      <w:hyperlink r:id="rId32">
        <w:r>
          <w:rPr>
            <w:rStyle w:val="Hyperlink"/>
          </w:rPr>
          <w:t xml:space="preserve">[18]</w:t>
        </w:r>
      </w:hyperlink>
      <w:r>
        <w:t xml:space="preserve"> </w:t>
      </w:r>
      <w:r>
        <w:t xml:space="preserve">https://www.freshworks.com/university/courses/freshdesk-agent-fundamentals/</w:t>
      </w:r>
    </w:p>
    <w:p>
      <w:pPr>
        <w:pStyle w:val="BodyText"/>
      </w:pPr>
      <w:hyperlink r:id="rId32">
        <w:r>
          <w:rPr>
            <w:rStyle w:val="Hyperlink"/>
          </w:rPr>
          <w:t xml:space="preserve">https://www.freshworks.com/university/courses/freshdesk-agent-fundamentals/</w:t>
        </w:r>
      </w:hyperlink>
    </w:p>
    <w:p>
      <w:pPr>
        <w:pStyle w:val="BodyText"/>
      </w:pPr>
      <w:hyperlink r:id="rId33">
        <w:r>
          <w:rPr>
            <w:rStyle w:val="Hyperlink"/>
          </w:rPr>
          <w:t xml:space="preserve">[19]</w:t>
        </w:r>
      </w:hyperlink>
      <w:r>
        <w:t xml:space="preserve"> </w:t>
      </w:r>
      <w:hyperlink r:id="rId33">
        <w:r>
          <w:rPr>
            <w:rStyle w:val="Hyperlink"/>
          </w:rPr>
          <w:t xml:space="preserve">[56]</w:t>
        </w:r>
      </w:hyperlink>
      <w:r>
        <w:t xml:space="preserve"> </w:t>
      </w:r>
      <w:r>
        <w:t xml:space="preserve">https://www.zendesk.com/service/ticketing-system/it-ticketing-template/</w:t>
      </w:r>
    </w:p>
    <w:p>
      <w:pPr>
        <w:pStyle w:val="BodyText"/>
      </w:pPr>
      <w:hyperlink r:id="rId33">
        <w:r>
          <w:rPr>
            <w:rStyle w:val="Hyperlink"/>
          </w:rPr>
          <w:t xml:space="preserve">https://www.zendesk.com/service/ticketing-system/it-ticketing-template/</w:t>
        </w:r>
      </w:hyperlink>
    </w:p>
    <w:p>
      <w:pPr>
        <w:pStyle w:val="BodyText"/>
      </w:pPr>
      <w:hyperlink r:id="rId34">
        <w:r>
          <w:rPr>
            <w:rStyle w:val="Hyperlink"/>
          </w:rPr>
          <w:t xml:space="preserve">[20]</w:t>
        </w:r>
      </w:hyperlink>
      <w:r>
        <w:t xml:space="preserve"> </w:t>
      </w:r>
      <w:hyperlink r:id="rId34">
        <w:r>
          <w:rPr>
            <w:rStyle w:val="Hyperlink"/>
          </w:rPr>
          <w:t xml:space="preserve">[22]</w:t>
        </w:r>
      </w:hyperlink>
      <w:r>
        <w:t xml:space="preserve"> </w:t>
      </w:r>
      <w:hyperlink r:id="rId34">
        <w:r>
          <w:rPr>
            <w:rStyle w:val="Hyperlink"/>
          </w:rPr>
          <w:t xml:space="preserve">[45]</w:t>
        </w:r>
      </w:hyperlink>
      <w:r>
        <w:t xml:space="preserve"> </w:t>
      </w:r>
      <w:r>
        <w:t xml:space="preserve">https://www.thinkhdi.com/education/courses/hdi-support-center-analyst-new-version</w:t>
      </w:r>
    </w:p>
    <w:p>
      <w:pPr>
        <w:pStyle w:val="BodyText"/>
      </w:pPr>
      <w:hyperlink r:id="rId34">
        <w:r>
          <w:rPr>
            <w:rStyle w:val="Hyperlink"/>
          </w:rPr>
          <w:t xml:space="preserve">https://www.thinkhdi.com/education/courses/hdi-support-center-analyst-new-version</w:t>
        </w:r>
      </w:hyperlink>
    </w:p>
    <w:p>
      <w:pPr>
        <w:pStyle w:val="BodyText"/>
      </w:pPr>
      <w:hyperlink r:id="rId35">
        <w:r>
          <w:rPr>
            <w:rStyle w:val="Hyperlink"/>
          </w:rPr>
          <w:t xml:space="preserve">[21]</w:t>
        </w:r>
      </w:hyperlink>
      <w:r>
        <w:t xml:space="preserve"> </w:t>
      </w:r>
      <w:r>
        <w:t xml:space="preserve">https://www.servicedeskinstitute.com/</w:t>
      </w:r>
    </w:p>
    <w:p>
      <w:pPr>
        <w:pStyle w:val="BodyText"/>
      </w:pPr>
      <w:hyperlink r:id="rId35">
        <w:r>
          <w:rPr>
            <w:rStyle w:val="Hyperlink"/>
          </w:rPr>
          <w:t xml:space="preserve">https://www.servicedeskinstitute.com/</w:t>
        </w:r>
      </w:hyperlink>
    </w:p>
    <w:p>
      <w:pPr>
        <w:pStyle w:val="BodyText"/>
      </w:pPr>
      <w:hyperlink r:id="rId36">
        <w:r>
          <w:rPr>
            <w:rStyle w:val="Hyperlink"/>
          </w:rPr>
          <w:t xml:space="preserve">[26]</w:t>
        </w:r>
      </w:hyperlink>
      <w:r>
        <w:t xml:space="preserve"> </w:t>
      </w:r>
      <w:hyperlink r:id="rId36">
        <w:r>
          <w:rPr>
            <w:rStyle w:val="Hyperlink"/>
          </w:rPr>
          <w:t xml:space="preserve">[27]</w:t>
        </w:r>
      </w:hyperlink>
      <w:r>
        <w:t xml:space="preserve"> </w:t>
      </w:r>
      <w:r>
        <w:t xml:space="preserve">Apollo 13 - an ITSM case experience™</w:t>
      </w:r>
    </w:p>
    <w:p>
      <w:pPr>
        <w:pStyle w:val="BodyText"/>
      </w:pPr>
      <w:hyperlink r:id="rId36">
        <w:r>
          <w:rPr>
            <w:rStyle w:val="Hyperlink"/>
          </w:rPr>
          <w:t xml:space="preserve">https://www.gamingworks.nl/business-simulations/apollo-13/?utm_source=chatgpt.com</w:t>
        </w:r>
      </w:hyperlink>
    </w:p>
    <w:p>
      <w:pPr>
        <w:pStyle w:val="BodyText"/>
      </w:pPr>
      <w:hyperlink r:id="rId41">
        <w:r>
          <w:rPr>
            <w:rStyle w:val="Hyperlink"/>
          </w:rPr>
          <w:t xml:space="preserve">[34]</w:t>
        </w:r>
      </w:hyperlink>
      <w:r>
        <w:t xml:space="preserve"> </w:t>
      </w:r>
      <w:r>
        <w:t xml:space="preserve">https://www.atlassian.com/itsm/service-request-management</w:t>
      </w:r>
    </w:p>
    <w:p>
      <w:pPr>
        <w:pStyle w:val="BodyText"/>
      </w:pPr>
      <w:hyperlink r:id="rId41">
        <w:r>
          <w:rPr>
            <w:rStyle w:val="Hyperlink"/>
          </w:rPr>
          <w:t xml:space="preserve">https://www.atlassian.com/itsm/service-request-management</w:t>
        </w:r>
      </w:hyperlink>
    </w:p>
    <w:p>
      <w:pPr>
        <w:pStyle w:val="BodyText"/>
      </w:pPr>
      <w:hyperlink r:id="rId42">
        <w:r>
          <w:rPr>
            <w:rStyle w:val="Hyperlink"/>
          </w:rPr>
          <w:t xml:space="preserve">[35]</w:t>
        </w:r>
      </w:hyperlink>
      <w:r>
        <w:t xml:space="preserve"> </w:t>
      </w:r>
      <w:hyperlink r:id="rId42">
        <w:r>
          <w:rPr>
            <w:rStyle w:val="Hyperlink"/>
          </w:rPr>
          <w:t xml:space="preserve">[64]</w:t>
        </w:r>
      </w:hyperlink>
      <w:r>
        <w:t xml:space="preserve"> </w:t>
      </w:r>
      <w:r>
        <w:t xml:space="preserve">https://www.itil.org.uk/blog/incident-vs-service-request</w:t>
      </w:r>
    </w:p>
    <w:p>
      <w:pPr>
        <w:pStyle w:val="BodyText"/>
      </w:pPr>
      <w:hyperlink r:id="rId42">
        <w:r>
          <w:rPr>
            <w:rStyle w:val="Hyperlink"/>
          </w:rPr>
          <w:t xml:space="preserve">https://www.itil.org.uk/blog/incident-vs-service-request</w:t>
        </w:r>
      </w:hyperlink>
    </w:p>
    <w:p>
      <w:pPr>
        <w:pStyle w:val="BodyText"/>
      </w:pPr>
      <w:hyperlink r:id="rId46">
        <w:r>
          <w:rPr>
            <w:rStyle w:val="Hyperlink"/>
          </w:rPr>
          <w:t xml:space="preserve">[44]</w:t>
        </w:r>
      </w:hyperlink>
      <w:r>
        <w:t xml:space="preserve"> </w:t>
      </w:r>
      <w:hyperlink r:id="rId46">
        <w:r>
          <w:rPr>
            <w:rStyle w:val="Hyperlink"/>
          </w:rPr>
          <w:t xml:space="preserve">[55]</w:t>
        </w:r>
      </w:hyperlink>
      <w:r>
        <w:t xml:space="preserve"> </w:t>
      </w:r>
      <w:hyperlink r:id="rId46">
        <w:r>
          <w:rPr>
            <w:rStyle w:val="Hyperlink"/>
          </w:rPr>
          <w:t xml:space="preserve">[58]</w:t>
        </w:r>
      </w:hyperlink>
      <w:r>
        <w:t xml:space="preserve"> </w:t>
      </w:r>
      <w:hyperlink r:id="rId46">
        <w:r>
          <w:rPr>
            <w:rStyle w:val="Hyperlink"/>
          </w:rPr>
          <w:t xml:space="preserve">[59]</w:t>
        </w:r>
      </w:hyperlink>
      <w:r>
        <w:t xml:space="preserve"> </w:t>
      </w:r>
      <w:r>
        <w:t xml:space="preserve">https://clutch.co/directory/mobile-application-developers/pricing</w:t>
      </w:r>
    </w:p>
    <w:p>
      <w:pPr>
        <w:pStyle w:val="BodyText"/>
      </w:pPr>
      <w:hyperlink r:id="rId46">
        <w:r>
          <w:rPr>
            <w:rStyle w:val="Hyperlink"/>
          </w:rPr>
          <w:t xml:space="preserve">https://clutch.co/directory/mobile-application-developers/pricing</w:t>
        </w:r>
      </w:hyperlink>
    </w:p>
    <w:p>
      <w:pPr>
        <w:pStyle w:val="BodyText"/>
      </w:pPr>
      <w:hyperlink r:id="rId49">
        <w:r>
          <w:rPr>
            <w:rStyle w:val="Hyperlink"/>
          </w:rPr>
          <w:t xml:space="preserve">[49]</w:t>
        </w:r>
      </w:hyperlink>
      <w:r>
        <w:t xml:space="preserve"> </w:t>
      </w:r>
      <w:hyperlink r:id="rId49">
        <w:r>
          <w:rPr>
            <w:rStyle w:val="Hyperlink"/>
          </w:rPr>
          <w:t xml:space="preserve">[50]</w:t>
        </w:r>
      </w:hyperlink>
      <w:r>
        <w:t xml:space="preserve"> </w:t>
      </w:r>
      <w:r>
        <w:t xml:space="preserve">https://www.manageengine.com/products/service-desk/help-desk-software/help-desk-metrics-kpi.html</w:t>
      </w:r>
    </w:p>
    <w:p>
      <w:pPr>
        <w:pStyle w:val="BodyText"/>
      </w:pPr>
      <w:hyperlink r:id="rId49">
        <w:r>
          <w:rPr>
            <w:rStyle w:val="Hyperlink"/>
          </w:rPr>
          <w:t xml:space="preserve">https://www.manageengine.com/products/service-desk/help-desk-software/help-desk-metrics-kpi.html</w:t>
        </w:r>
      </w:hyperlink>
    </w:p>
    <w:p>
      <w:pPr>
        <w:pStyle w:val="BodyText"/>
      </w:pPr>
      <w:hyperlink r:id="rId55">
        <w:r>
          <w:rPr>
            <w:rStyle w:val="Hyperlink"/>
          </w:rPr>
          <w:t xml:space="preserve">[53]</w:t>
        </w:r>
      </w:hyperlink>
      <w:r>
        <w:t xml:space="preserve"> </w:t>
      </w:r>
      <w:hyperlink r:id="rId55">
        <w:r>
          <w:rPr>
            <w:rStyle w:val="Hyperlink"/>
          </w:rPr>
          <w:t xml:space="preserve">[57]</w:t>
        </w:r>
      </w:hyperlink>
      <w:r>
        <w:t xml:space="preserve"> </w:t>
      </w:r>
      <w:r>
        <w:t xml:space="preserve">https://reedsy.com/blog/guide/editing/cost/</w:t>
      </w:r>
    </w:p>
    <w:p>
      <w:pPr>
        <w:pStyle w:val="BodyText"/>
      </w:pPr>
      <w:hyperlink r:id="rId55">
        <w:r>
          <w:rPr>
            <w:rStyle w:val="Hyperlink"/>
          </w:rPr>
          <w:t xml:space="preserve">https://reedsy.com/blog/guide/editing/cost/</w:t>
        </w:r>
      </w:hyperlink>
    </w:p>
    <w:p>
      <w:pPr>
        <w:pStyle w:val="BodyText"/>
      </w:pPr>
      <w:hyperlink r:id="rId59">
        <w:r>
          <w:rPr>
            <w:rStyle w:val="Hyperlink"/>
          </w:rPr>
          <w:t xml:space="preserve">[61]</w:t>
        </w:r>
      </w:hyperlink>
      <w:r>
        <w:t xml:space="preserve"> </w:t>
      </w:r>
      <w:r>
        <w:t xml:space="preserve">https://support.freshdesk.com/support/solutions/articles/220141-creating-and-using-ticket-templates</w:t>
      </w:r>
    </w:p>
    <w:p>
      <w:pPr>
        <w:pStyle w:val="BodyText"/>
      </w:pPr>
      <w:hyperlink r:id="rId59">
        <w:r>
          <w:rPr>
            <w:rStyle w:val="Hyperlink"/>
          </w:rPr>
          <w:t xml:space="preserve">https://support.freshdesk.com/support/solutions/articles/220141-creating-and-using-ticket-templates</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12twenty.zendesk.com/hc/en-us/articles/30048929152787-How-to-Write-Effective-Support-Tickets-for-Streamlined-Solutions" TargetMode="External" /><Relationship Type="http://schemas.openxmlformats.org/officeDocument/2006/relationships/hyperlink" Id="rId25" Target="https://certifications.tcm-sec.com/phda/" TargetMode="External" /><Relationship Type="http://schemas.openxmlformats.org/officeDocument/2006/relationships/hyperlink" Id="rId46" Target="https://clutch.co/directory/mobile-application-developers/pricing" TargetMode="External" /><Relationship Type="http://schemas.openxmlformats.org/officeDocument/2006/relationships/hyperlink" Id="rId55" Target="https://reedsy.com/blog/guide/editing/cost/" TargetMode="External" /><Relationship Type="http://schemas.openxmlformats.org/officeDocument/2006/relationships/hyperlink" Id="rId59" Target="https://support.freshdesk.com/support/solutions/articles/220141-creating-and-using-ticket-templates" TargetMode="External" /><Relationship Type="http://schemas.openxmlformats.org/officeDocument/2006/relationships/hyperlink" Id="rId41" Target="https://www.atlassian.com/itsm/service-request-management" TargetMode="External" /><Relationship Type="http://schemas.openxmlformats.org/officeDocument/2006/relationships/hyperlink" Id="rId23" Target="https://www.bls.gov/ooh/computer-and-information-technology/computer-support-specialists.htm" TargetMode="External" /><Relationship Type="http://schemas.openxmlformats.org/officeDocument/2006/relationships/hyperlink" Id="rId32" Target="https://www.freshworks.com/university/courses/freshdesk-agent-fundamentals/" TargetMode="External" /><Relationship Type="http://schemas.openxmlformats.org/officeDocument/2006/relationships/hyperlink" Id="rId36" Target="https://www.gamingworks.nl/business-simulations/apollo-13/?utm_source=chatgpt.com" TargetMode="External" /><Relationship Type="http://schemas.openxmlformats.org/officeDocument/2006/relationships/hyperlink" Id="rId42" Target="https://www.itil.org.uk/blog/incident-vs-service-request" TargetMode="External" /><Relationship Type="http://schemas.openxmlformats.org/officeDocument/2006/relationships/hyperlink" Id="rId49" Target="https://www.manageengine.com/products/service-desk/help-desk-software/help-desk-metrics-kpi.html" TargetMode="External" /><Relationship Type="http://schemas.openxmlformats.org/officeDocument/2006/relationships/hyperlink" Id="rId29" Target="https://www.onetonline.org/link/summary/15-1232.00" TargetMode="External" /><Relationship Type="http://schemas.openxmlformats.org/officeDocument/2006/relationships/hyperlink" Id="rId35" Target="https://www.servicedeskinstitute.com/" TargetMode="External" /><Relationship Type="http://schemas.openxmlformats.org/officeDocument/2006/relationships/hyperlink" Id="rId27" Target="https://www.serviceinnovation.org/included/docs/KCS_v6_Practices_Guide_2023_06_08.pdf" TargetMode="External" /><Relationship Type="http://schemas.openxmlformats.org/officeDocument/2006/relationships/hyperlink" Id="rId31" Target="https://www.servicenow.com/docs/r/washingtondc/application-development/personal_developer_instance_guide.html" TargetMode="External" /><Relationship Type="http://schemas.openxmlformats.org/officeDocument/2006/relationships/hyperlink" Id="rId22" Target="https://www.servicenow.com/products/itsm/what-is-incident-management.html" TargetMode="External" /><Relationship Type="http://schemas.openxmlformats.org/officeDocument/2006/relationships/hyperlink" Id="rId34" Target="https://www.thinkhdi.com/education/courses/hdi-support-center-analyst-new-version" TargetMode="External" /><Relationship Type="http://schemas.openxmlformats.org/officeDocument/2006/relationships/hyperlink" Id="rId21" Target="https://www.thinkhdi.com/library/supportworld/2017/documentation-counts" TargetMode="External" /><Relationship Type="http://schemas.openxmlformats.org/officeDocument/2006/relationships/hyperlink" Id="rId24" Target="https://www.zendesk.com/blog/qa-scorecard/" TargetMode="External" /><Relationship Type="http://schemas.openxmlformats.org/officeDocument/2006/relationships/hyperlink" Id="rId33" Target="https://www.zendesk.com/service/ticketing-system/it-ticketing-template/" TargetMode="External" /></Relationships>
</file>

<file path=word/_rels/footnotes.xml.rels><?xml version="1.0" encoding="UTF-8"?><Relationships xmlns="http://schemas.openxmlformats.org/package/2006/relationships"><Relationship Type="http://schemas.openxmlformats.org/officeDocument/2006/relationships/hyperlink" Id="rId28" Target="https://12twenty.zendesk.com/hc/en-us/articles/30048929152787-How-to-Write-Effective-Support-Tickets-for-Streamlined-Solutions" TargetMode="External" /><Relationship Type="http://schemas.openxmlformats.org/officeDocument/2006/relationships/hyperlink" Id="rId25" Target="https://certifications.tcm-sec.com/phda/" TargetMode="External" /><Relationship Type="http://schemas.openxmlformats.org/officeDocument/2006/relationships/hyperlink" Id="rId46" Target="https://clutch.co/directory/mobile-application-developers/pricing" TargetMode="External" /><Relationship Type="http://schemas.openxmlformats.org/officeDocument/2006/relationships/hyperlink" Id="rId55" Target="https://reedsy.com/blog/guide/editing/cost/" TargetMode="External" /><Relationship Type="http://schemas.openxmlformats.org/officeDocument/2006/relationships/hyperlink" Id="rId59" Target="https://support.freshdesk.com/support/solutions/articles/220141-creating-and-using-ticket-templates" TargetMode="External" /><Relationship Type="http://schemas.openxmlformats.org/officeDocument/2006/relationships/hyperlink" Id="rId41" Target="https://www.atlassian.com/itsm/service-request-management" TargetMode="External" /><Relationship Type="http://schemas.openxmlformats.org/officeDocument/2006/relationships/hyperlink" Id="rId23" Target="https://www.bls.gov/ooh/computer-and-information-technology/computer-support-specialists.htm" TargetMode="External" /><Relationship Type="http://schemas.openxmlformats.org/officeDocument/2006/relationships/hyperlink" Id="rId32" Target="https://www.freshworks.com/university/courses/freshdesk-agent-fundamentals/" TargetMode="External" /><Relationship Type="http://schemas.openxmlformats.org/officeDocument/2006/relationships/hyperlink" Id="rId36" Target="https://www.gamingworks.nl/business-simulations/apollo-13/?utm_source=chatgpt.com" TargetMode="External" /><Relationship Type="http://schemas.openxmlformats.org/officeDocument/2006/relationships/hyperlink" Id="rId42" Target="https://www.itil.org.uk/blog/incident-vs-service-request" TargetMode="External" /><Relationship Type="http://schemas.openxmlformats.org/officeDocument/2006/relationships/hyperlink" Id="rId49" Target="https://www.manageengine.com/products/service-desk/help-desk-software/help-desk-metrics-kpi.html" TargetMode="External" /><Relationship Type="http://schemas.openxmlformats.org/officeDocument/2006/relationships/hyperlink" Id="rId29" Target="https://www.onetonline.org/link/summary/15-1232.00" TargetMode="External" /><Relationship Type="http://schemas.openxmlformats.org/officeDocument/2006/relationships/hyperlink" Id="rId35" Target="https://www.servicedeskinstitute.com/" TargetMode="External" /><Relationship Type="http://schemas.openxmlformats.org/officeDocument/2006/relationships/hyperlink" Id="rId27" Target="https://www.serviceinnovation.org/included/docs/KCS_v6_Practices_Guide_2023_06_08.pdf" TargetMode="External" /><Relationship Type="http://schemas.openxmlformats.org/officeDocument/2006/relationships/hyperlink" Id="rId31" Target="https://www.servicenow.com/docs/r/washingtondc/application-development/personal_developer_instance_guide.html" TargetMode="External" /><Relationship Type="http://schemas.openxmlformats.org/officeDocument/2006/relationships/hyperlink" Id="rId22" Target="https://www.servicenow.com/products/itsm/what-is-incident-management.html" TargetMode="External" /><Relationship Type="http://schemas.openxmlformats.org/officeDocument/2006/relationships/hyperlink" Id="rId34" Target="https://www.thinkhdi.com/education/courses/hdi-support-center-analyst-new-version" TargetMode="External" /><Relationship Type="http://schemas.openxmlformats.org/officeDocument/2006/relationships/hyperlink" Id="rId21" Target="https://www.thinkhdi.com/library/supportworld/2017/documentation-counts" TargetMode="External" /><Relationship Type="http://schemas.openxmlformats.org/officeDocument/2006/relationships/hyperlink" Id="rId24" Target="https://www.zendesk.com/blog/qa-scorecard/" TargetMode="External" /><Relationship Type="http://schemas.openxmlformats.org/officeDocument/2006/relationships/hyperlink" Id="rId33" Target="https://www.zendesk.com/service/ticketing-system/it-ticketing-templ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2026-02-21T01:20:13Z</dcterms:created>
  <dcterms:modified xsi:type="dcterms:W3CDTF">2026-02-21T01:20:13Z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