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Metadata_Framework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 xml:space="preserve">Version 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2023-08-11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Metadata_Framework.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>XX-QUALITYGATE-XX</w:t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unknown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100.0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-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/>
            </w:r>
          </w:p>
        </w:tc>
        <w:tc>
          <w:p/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Metadata_Framework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