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 UK GDPR compliance register</w:t>
      </w:r>
    </w:p>
    <w:p>
      <w:r>
        <w:br w:type="page"/>
      </w:r>
    </w:p>
    <w:p>
      <w:pPr>
        <w:pStyle w:val="Heading2"/>
      </w:pPr>
      <w:r>
        <w:t>Contents</w:t>
      </w:r>
    </w:p>
    <w:p>
      <w:pPr>
        <w:spacing w:after="40"/>
        <w:ind w:left="113"/>
      </w:pPr>
      <w:r>
        <w:rPr>
          <w:sz w:val="21"/>
        </w:rPr>
        <w:t>1. Principles — Article 5</w:t>
      </w:r>
    </w:p>
    <w:p>
      <w:pPr>
        <w:spacing w:after="40"/>
        <w:ind w:left="113"/>
      </w:pPr>
      <w:r>
        <w:rPr>
          <w:sz w:val="21"/>
        </w:rPr>
        <w:t>2. Data-subject rights — Chapter III</w:t>
      </w:r>
    </w:p>
    <w:p>
      <w:pPr>
        <w:spacing w:after="40"/>
        <w:ind w:left="113"/>
      </w:pPr>
      <w:r>
        <w:rPr>
          <w:sz w:val="21"/>
        </w:rPr>
        <w:t>3. Security of processing — Article 32</w:t>
      </w:r>
    </w:p>
    <w:p>
      <w:pPr>
        <w:spacing w:after="40"/>
        <w:ind w:left="113"/>
      </w:pPr>
      <w:r>
        <w:rPr>
          <w:sz w:val="21"/>
        </w:rPr>
        <w:t>4. Records of processing — Article 30 (data inventory)</w:t>
      </w:r>
    </w:p>
    <w:p>
      <w:pPr>
        <w:spacing w:after="40"/>
        <w:ind w:left="113"/>
      </w:pPr>
      <w:r>
        <w:rPr>
          <w:sz w:val="21"/>
        </w:rPr>
        <w:t>5. Processors and international transfers — Articles 28 and 44–49</w:t>
      </w:r>
    </w:p>
    <w:p>
      <w:pPr>
        <w:spacing w:after="40"/>
        <w:ind w:left="113"/>
      </w:pPr>
      <w:r>
        <w:rPr>
          <w:sz w:val="21"/>
        </w:rPr>
        <w:t>6. Remaining actions for the organisation</w:t>
      </w:r>
    </w:p>
    <w:p>
      <w:pPr>
        <w:spacing w:after="40"/>
        <w:ind w:left="113"/>
      </w:pPr>
      <w:r>
        <w:rPr>
          <w:sz w:val="21"/>
        </w:rPr>
        <w:t>7. What the 2026-09-09 release added</w:t>
      </w:r>
    </w:p>
    <w:p>
      <w:r>
        <w:br w:type="page"/>
      </w:r>
    </w:p>
    <w:p>
      <w:r>
        <w:rPr/>
        <w:t xml:space="preserve">EMHIP processes </w:t>
      </w:r>
      <w:r>
        <w:rPr>
          <w:b/>
        </w:rPr>
        <w:t>special-category personal data</w:t>
      </w:r>
      <w:r>
        <w:rPr/>
        <w:t xml:space="preserve"> (mental-health records, ethnicity, NHS numbers) about hub guests, plus the activity of the staff who use it. This register maps the requirements of the UK GDPR and the Data Protection Act 2018 to the controls in the codebase, and lists what remains for the organisation (the controller) to do. Last reviewed with the 2026-09-09 release.</w:t>
      </w:r>
    </w:p>
    <w:p>
      <w:r>
        <w:rPr/>
        <w:t xml:space="preserve">Status key: </w:t>
      </w:r>
      <w:r>
        <w:rPr>
          <w:b/>
        </w:rPr>
        <w:t>Implemented</w:t>
      </w:r>
      <w:r>
        <w:rPr/>
        <w:t xml:space="preserve"> = enforced by the code · </w:t>
      </w:r>
      <w:r>
        <w:rPr>
          <w:b/>
        </w:rPr>
        <w:t>Partly</w:t>
      </w:r>
      <w:r>
        <w:rPr/>
        <w:t xml:space="preserve"> = technical part done, organisational part outstanding · </w:t>
      </w:r>
      <w:r>
        <w:rPr>
          <w:b/>
        </w:rPr>
        <w:t>Organisational</w:t>
      </w:r>
      <w:r>
        <w:rPr/>
        <w:t xml:space="preserve"> = policy/contract/process, outside the code.</w:t>
      </w:r>
    </w:p>
    <w:p>
      <w:pPr>
        <w:pStyle w:val="Heading2"/>
        <w:pBdr>
          <w:bottom w:val="single" w:sz="6" w:space="4" w:color="E8D5DB"/>
        </w:pBdr>
      </w:pPr>
      <w:r>
        <w:rPr/>
        <w:t>1. Principles — Article 5</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2532"/>
            <w:shd w:val="clear" w:color="auto" w:fill="8D1B3D"/>
          </w:tcPr>
          <w:p>
            <w:pPr>
              <w:spacing w:after="0" w:line="252" w:lineRule="auto"/>
            </w:pPr>
            <w:r>
              <w:rPr>
                <w:b/>
                <w:color w:val="FFFFFF"/>
                <w:sz w:val="19"/>
              </w:rPr>
              <w:t>Requirement</w:t>
            </w:r>
          </w:p>
        </w:tc>
        <w:tc>
          <w:tcPr>
            <w:tcW w:type="dxa" w:w="2532"/>
            <w:shd w:val="clear" w:color="auto" w:fill="8D1B3D"/>
          </w:tcPr>
          <w:p>
            <w:pPr>
              <w:spacing w:after="0" w:line="252" w:lineRule="auto"/>
            </w:pPr>
            <w:r>
              <w:rPr>
                <w:b/>
                <w:color w:val="FFFFFF"/>
                <w:sz w:val="19"/>
              </w:rPr>
              <w:t>Control in EMHIP</w:t>
            </w:r>
          </w:p>
        </w:tc>
        <w:tc>
          <w:tcPr>
            <w:tcW w:type="dxa" w:w="2532"/>
            <w:shd w:val="clear" w:color="auto" w:fill="8D1B3D"/>
          </w:tcPr>
          <w:p>
            <w:pPr>
              <w:spacing w:after="0" w:line="252" w:lineRule="auto"/>
            </w:pPr>
            <w:r>
              <w:rPr>
                <w:b/>
                <w:color w:val="FFFFFF"/>
                <w:sz w:val="19"/>
              </w:rPr>
              <w:t>Where</w:t>
            </w:r>
          </w:p>
        </w:tc>
        <w:tc>
          <w:tcPr>
            <w:tcW w:type="dxa" w:w="1815"/>
            <w:shd w:val="clear" w:color="auto" w:fill="8D1B3D"/>
          </w:tcPr>
          <w:p>
            <w:pPr>
              <w:spacing w:after="0" w:line="252" w:lineRule="auto"/>
            </w:pPr>
            <w:r>
              <w:rPr>
                <w:b/>
                <w:color w:val="FFFFFF"/>
                <w:sz w:val="19"/>
              </w:rPr>
              <w:t>Status</w:t>
            </w:r>
          </w:p>
        </w:tc>
      </w:tr>
      <w:tr>
        <w:trPr>
          <w:cantSplit/>
        </w:trPr>
        <w:tc>
          <w:tcPr>
            <w:tcW w:type="dxa" w:w="2532"/>
          </w:tcPr>
          <w:p>
            <w:pPr>
              <w:spacing w:after="0" w:line="252" w:lineRule="auto"/>
            </w:pPr>
            <w:r>
              <w:rPr>
                <w:sz w:val="19"/>
              </w:rPr>
              <w:t>Lawfulness, fairness, transparency (5(1)(a), Art. 6, Art. 9(2)(h))</w:t>
            </w:r>
          </w:p>
        </w:tc>
        <w:tc>
          <w:tcPr>
            <w:tcW w:type="dxa" w:w="2532"/>
          </w:tcPr>
          <w:p>
            <w:pPr>
              <w:spacing w:after="0" w:line="252" w:lineRule="auto"/>
            </w:pPr>
            <w:r>
              <w:rPr>
                <w:sz w:val="19"/>
              </w:rPr>
              <w:t>Consent recorded at registration (</w:t>
            </w:r>
            <w:r>
              <w:rPr>
                <w:rFonts w:ascii="Consolas" w:hAnsi="Consolas"/>
                <w:color w:val="5A1227"/>
                <w:sz w:val="17"/>
              </w:rPr>
              <w:t>Guest.ConsentGiven/At</w:t>
            </w:r>
            <w:r>
              <w:rPr>
                <w:sz w:val="19"/>
              </w:rPr>
              <w:t>, required by the validator) and re-confirmed at the initial conversation. Lawful bases must still be written into the privacy notice / ROPA.</w:t>
            </w:r>
          </w:p>
        </w:tc>
        <w:tc>
          <w:tcPr>
            <w:tcW w:type="dxa" w:w="2532"/>
          </w:tcPr>
          <w:p>
            <w:pPr>
              <w:spacing w:after="0" w:line="252" w:lineRule="auto"/>
            </w:pPr>
            <w:r>
              <w:rPr>
                <w:rFonts w:ascii="Consolas" w:hAnsi="Consolas"/>
                <w:color w:val="5A1227"/>
                <w:sz w:val="17"/>
              </w:rPr>
              <w:t>Guest.cs</w:t>
            </w:r>
            <w:r>
              <w:rPr>
                <w:sz w:val="19"/>
              </w:rPr>
              <w:t xml:space="preserve">, </w:t>
            </w:r>
            <w:r>
              <w:rPr>
                <w:rFonts w:ascii="Consolas" w:hAnsi="Consolas"/>
                <w:color w:val="5A1227"/>
                <w:sz w:val="17"/>
              </w:rPr>
              <w:t>RegisterGuestCommand</w:t>
            </w:r>
            <w:r>
              <w:rPr>
                <w:sz w:val="19"/>
              </w:rPr>
              <w:t xml:space="preserve">, </w:t>
            </w:r>
            <w:r>
              <w:rPr>
                <w:rFonts w:ascii="Consolas" w:hAnsi="Consolas"/>
                <w:color w:val="5A1227"/>
                <w:sz w:val="17"/>
              </w:rPr>
              <w:t>InitialConversationRecord</w:t>
            </w:r>
          </w:p>
        </w:tc>
        <w:tc>
          <w:tcPr>
            <w:tcW w:type="dxa" w:w="1815"/>
          </w:tcPr>
          <w:p>
            <w:pPr>
              <w:spacing w:after="0" w:line="252" w:lineRule="auto"/>
            </w:pPr>
            <w:r>
              <w:rPr>
                <w:sz w:val="19"/>
              </w:rPr>
              <w:t>Partly</w:t>
            </w:r>
          </w:p>
        </w:tc>
      </w:tr>
      <w:tr>
        <w:trPr>
          <w:cantSplit/>
        </w:trPr>
        <w:tc>
          <w:tcPr>
            <w:tcW w:type="dxa" w:w="2532"/>
            <w:shd w:val="clear" w:color="auto" w:fill="FAF6F7"/>
          </w:tcPr>
          <w:p>
            <w:pPr>
              <w:spacing w:after="0" w:line="252" w:lineRule="auto"/>
            </w:pPr>
            <w:r>
              <w:rPr>
                <w:sz w:val="19"/>
              </w:rPr>
              <w:t>Purpose limitation (5(1)(b))</w:t>
            </w:r>
          </w:p>
        </w:tc>
        <w:tc>
          <w:tcPr>
            <w:tcW w:type="dxa" w:w="2532"/>
            <w:shd w:val="clear" w:color="auto" w:fill="FAF6F7"/>
          </w:tcPr>
          <w:p>
            <w:pPr>
              <w:spacing w:after="0" w:line="252" w:lineRule="auto"/>
            </w:pPr>
            <w:r>
              <w:rPr>
                <w:sz w:val="19"/>
              </w:rPr>
              <w:t>List, search, dashboard, report, access-log and export queries are scoped to the caller's hub; one authorisation policy per permission; separate claims for exporting, anonymising and viewing the access log. The guest record tabs look a guest up by id without a hub check (reviewed 30 September 2026): harmless while there is one hub, but add the check before a second hub is created.</w:t>
            </w:r>
          </w:p>
        </w:tc>
        <w:tc>
          <w:tcPr>
            <w:tcW w:type="dxa" w:w="2532"/>
            <w:shd w:val="clear" w:color="auto" w:fill="FAF6F7"/>
          </w:tcPr>
          <w:p>
            <w:pPr>
              <w:spacing w:after="0" w:line="252" w:lineRule="auto"/>
            </w:pPr>
            <w:r>
              <w:rPr>
                <w:rFonts w:ascii="Consolas" w:hAnsi="Consolas"/>
                <w:color w:val="5A1227"/>
                <w:sz w:val="17"/>
              </w:rPr>
              <w:t>Permissions.cs</w:t>
            </w:r>
            <w:r>
              <w:rPr>
                <w:sz w:val="19"/>
              </w:rPr>
              <w:t xml:space="preserve">, </w:t>
            </w:r>
            <w:r>
              <w:rPr>
                <w:rFonts w:ascii="Consolas" w:hAnsi="Consolas"/>
                <w:color w:val="5A1227"/>
                <w:sz w:val="17"/>
              </w:rPr>
              <w:t>Program.cs</w:t>
            </w:r>
            <w:r>
              <w:rPr>
                <w:sz w:val="19"/>
              </w:rPr>
              <w:t xml:space="preserve">, every controller, </w:t>
            </w:r>
            <w:r>
              <w:rPr>
                <w:rFonts w:ascii="Consolas" w:hAnsi="Consolas"/>
                <w:color w:val="5A1227"/>
                <w:sz w:val="17"/>
              </w:rPr>
              <w:t>GetGuestWorkspaceQueries.cs</w:t>
            </w:r>
          </w:p>
        </w:tc>
        <w:tc>
          <w:tcPr>
            <w:tcW w:type="dxa" w:w="1815"/>
            <w:shd w:val="clear" w:color="auto" w:fill="FAF6F7"/>
          </w:tcPr>
          <w:p>
            <w:pPr>
              <w:spacing w:after="0" w:line="252" w:lineRule="auto"/>
            </w:pPr>
            <w:r>
              <w:rPr>
                <w:sz w:val="19"/>
              </w:rPr>
              <w:t>Partly</w:t>
            </w:r>
          </w:p>
        </w:tc>
      </w:tr>
      <w:tr>
        <w:trPr>
          <w:cantSplit/>
        </w:trPr>
        <w:tc>
          <w:tcPr>
            <w:tcW w:type="dxa" w:w="2532"/>
          </w:tcPr>
          <w:p>
            <w:pPr>
              <w:spacing w:after="0" w:line="252" w:lineRule="auto"/>
            </w:pPr>
            <w:r>
              <w:rPr>
                <w:sz w:val="19"/>
              </w:rPr>
              <w:t>Data minimisation (5(1)(c))</w:t>
            </w:r>
          </w:p>
        </w:tc>
        <w:tc>
          <w:tcPr>
            <w:tcW w:type="dxa" w:w="2532"/>
          </w:tcPr>
          <w:p>
            <w:pPr>
              <w:spacing w:after="0" w:line="252" w:lineRule="auto"/>
            </w:pPr>
            <w:r>
              <w:rPr>
                <w:sz w:val="19"/>
              </w:rPr>
              <w:t xml:space="preserve">Anonymisation keeps only the pseudonymous record; the audit log records </w:t>
            </w:r>
            <w:r>
              <w:rPr>
                <w:i/>
                <w:sz w:val="19"/>
              </w:rPr>
              <w:t>which</w:t>
            </w:r>
            <w:r>
              <w:rPr>
                <w:sz w:val="19"/>
              </w:rPr>
              <w:t xml:space="preserve"> fields changed, never values; exports limited to </w:t>
            </w:r>
            <w:r>
              <w:rPr>
                <w:rFonts w:ascii="Consolas" w:hAnsi="Consolas"/>
                <w:color w:val="5A1227"/>
                <w:sz w:val="17"/>
              </w:rPr>
              <w:t>guests.export</w:t>
            </w:r>
            <w:r>
              <w:rPr>
                <w:sz w:val="19"/>
              </w:rPr>
              <w:t xml:space="preserve"> holders.</w:t>
            </w:r>
          </w:p>
        </w:tc>
        <w:tc>
          <w:tcPr>
            <w:tcW w:type="dxa" w:w="2532"/>
          </w:tcPr>
          <w:p>
            <w:pPr>
              <w:spacing w:after="0" w:line="252" w:lineRule="auto"/>
            </w:pPr>
            <w:r>
              <w:rPr>
                <w:rFonts w:ascii="Consolas" w:hAnsi="Consolas"/>
                <w:color w:val="5A1227"/>
                <w:sz w:val="17"/>
              </w:rPr>
              <w:t>Guest.Anonymise()</w:t>
            </w:r>
            <w:r>
              <w:rPr>
                <w:sz w:val="19"/>
              </w:rPr>
              <w:t xml:space="preserve">, </w:t>
            </w:r>
            <w:r>
              <w:rPr>
                <w:rFonts w:ascii="Consolas" w:hAnsi="Consolas"/>
                <w:color w:val="5A1227"/>
                <w:sz w:val="17"/>
              </w:rPr>
              <w:t>AuditSaveChangesInterceptor</w:t>
            </w:r>
            <w:r>
              <w:rPr>
                <w:sz w:val="19"/>
              </w:rPr>
              <w:t xml:space="preserve">, </w:t>
            </w:r>
            <w:r>
              <w:rPr>
                <w:rFonts w:ascii="Consolas" w:hAnsi="Consolas"/>
                <w:color w:val="5A1227"/>
                <w:sz w:val="17"/>
              </w:rPr>
              <w:t>GuestsController</w:t>
            </w:r>
          </w:p>
        </w:tc>
        <w:tc>
          <w:tcPr>
            <w:tcW w:type="dxa" w:w="1815"/>
          </w:tcPr>
          <w:p>
            <w:pPr>
              <w:spacing w:after="0" w:line="252" w:lineRule="auto"/>
            </w:pPr>
            <w:r>
              <w:rPr>
                <w:sz w:val="19"/>
              </w:rPr>
              <w:t>Implemented</w:t>
            </w:r>
          </w:p>
        </w:tc>
      </w:tr>
      <w:tr>
        <w:trPr>
          <w:cantSplit/>
        </w:trPr>
        <w:tc>
          <w:tcPr>
            <w:tcW w:type="dxa" w:w="2532"/>
            <w:shd w:val="clear" w:color="auto" w:fill="FAF6F7"/>
          </w:tcPr>
          <w:p>
            <w:pPr>
              <w:spacing w:after="0" w:line="252" w:lineRule="auto"/>
            </w:pPr>
            <w:r>
              <w:rPr>
                <w:sz w:val="19"/>
              </w:rPr>
              <w:t>Accuracy (5(1)(d))</w:t>
            </w:r>
          </w:p>
        </w:tc>
        <w:tc>
          <w:tcPr>
            <w:tcW w:type="dxa" w:w="2532"/>
            <w:shd w:val="clear" w:color="auto" w:fill="FAF6F7"/>
          </w:tcPr>
          <w:p>
            <w:pPr>
              <w:spacing w:after="0" w:line="252" w:lineRule="auto"/>
            </w:pPr>
            <w:r>
              <w:rPr>
                <w:sz w:val="19"/>
              </w:rPr>
              <w:t>Clinical records are append-only and versioned (risk assessments, pathway changes, document versions); demographics and contact details are editable in place with an audit trail.</w:t>
            </w:r>
          </w:p>
        </w:tc>
        <w:tc>
          <w:tcPr>
            <w:tcW w:type="dxa" w:w="2532"/>
            <w:shd w:val="clear" w:color="auto" w:fill="FAF6F7"/>
          </w:tcPr>
          <w:p>
            <w:pPr>
              <w:spacing w:after="0" w:line="252" w:lineRule="auto"/>
            </w:pPr>
            <w:r>
              <w:rPr>
                <w:rFonts w:ascii="Consolas" w:hAnsi="Consolas"/>
                <w:color w:val="5A1227"/>
                <w:sz w:val="17"/>
              </w:rPr>
              <w:t>RiskAssessment</w:t>
            </w:r>
            <w:r>
              <w:rPr>
                <w:sz w:val="19"/>
              </w:rPr>
              <w:t xml:space="preserve">, </w:t>
            </w:r>
            <w:r>
              <w:rPr>
                <w:rFonts w:ascii="Consolas" w:hAnsi="Consolas"/>
                <w:color w:val="5A1227"/>
                <w:sz w:val="17"/>
              </w:rPr>
              <w:t>PathwayChange</w:t>
            </w:r>
            <w:r>
              <w:rPr>
                <w:sz w:val="19"/>
              </w:rPr>
              <w:t xml:space="preserve">, </w:t>
            </w:r>
            <w:r>
              <w:rPr>
                <w:rFonts w:ascii="Consolas" w:hAnsi="Consolas"/>
                <w:color w:val="5A1227"/>
                <w:sz w:val="17"/>
              </w:rPr>
              <w:t>DocumentVersion</w:t>
            </w:r>
          </w:p>
        </w:tc>
        <w:tc>
          <w:tcPr>
            <w:tcW w:type="dxa" w:w="1815"/>
            <w:shd w:val="clear" w:color="auto" w:fill="FAF6F7"/>
          </w:tcPr>
          <w:p>
            <w:pPr>
              <w:spacing w:after="0" w:line="252" w:lineRule="auto"/>
            </w:pPr>
            <w:r>
              <w:rPr>
                <w:sz w:val="19"/>
              </w:rPr>
              <w:t>Implemented</w:t>
            </w:r>
          </w:p>
        </w:tc>
      </w:tr>
      <w:tr>
        <w:trPr>
          <w:cantSplit/>
        </w:trPr>
        <w:tc>
          <w:tcPr>
            <w:tcW w:type="dxa" w:w="2532"/>
          </w:tcPr>
          <w:p>
            <w:pPr>
              <w:spacing w:after="0" w:line="252" w:lineRule="auto"/>
            </w:pPr>
            <w:r>
              <w:rPr>
                <w:sz w:val="19"/>
              </w:rPr>
              <w:t>Storage limitation (5(1)(e))</w:t>
            </w:r>
          </w:p>
        </w:tc>
        <w:tc>
          <w:tcPr>
            <w:tcW w:type="dxa" w:w="2532"/>
          </w:tcPr>
          <w:p>
            <w:pPr>
              <w:spacing w:after="0" w:line="252" w:lineRule="auto"/>
            </w:pPr>
            <w:r>
              <w:rPr>
                <w:sz w:val="19"/>
              </w:rPr>
              <w:t xml:space="preserve">Documents carry a retention date (default 7 years; purge blocked before it). </w:t>
            </w:r>
            <w:r>
              <w:rPr>
                <w:rFonts w:ascii="Consolas" w:hAnsi="Consolas"/>
                <w:color w:val="5A1227"/>
                <w:sz w:val="17"/>
              </w:rPr>
              <w:t>compliance.recordRetentionYears</w:t>
            </w:r>
            <w:r>
              <w:rPr>
                <w:sz w:val="19"/>
              </w:rPr>
              <w:t xml:space="preserve"> (default 20, NHS Records Management Code for adult mental health) flags records for retention review on the Data Quality report; anonymisation closes them.</w:t>
            </w:r>
          </w:p>
        </w:tc>
        <w:tc>
          <w:tcPr>
            <w:tcW w:type="dxa" w:w="2532"/>
          </w:tcPr>
          <w:p>
            <w:pPr>
              <w:spacing w:after="0" w:line="252" w:lineRule="auto"/>
            </w:pPr>
            <w:r>
              <w:rPr>
                <w:rFonts w:ascii="Consolas" w:hAnsi="Consolas"/>
                <w:color w:val="5A1227"/>
                <w:sz w:val="17"/>
              </w:rPr>
              <w:t>SettingsCatalog</w:t>
            </w:r>
            <w:r>
              <w:rPr>
                <w:sz w:val="19"/>
              </w:rPr>
              <w:t xml:space="preserve">, </w:t>
            </w:r>
            <w:r>
              <w:rPr>
                <w:rFonts w:ascii="Consolas" w:hAnsi="Consolas"/>
                <w:color w:val="5A1227"/>
                <w:sz w:val="17"/>
              </w:rPr>
              <w:t>ReportReadService</w:t>
            </w:r>
            <w:r>
              <w:rPr>
                <w:sz w:val="19"/>
              </w:rPr>
              <w:t xml:space="preserve">, </w:t>
            </w:r>
            <w:r>
              <w:rPr>
                <w:rFonts w:ascii="Consolas" w:hAnsi="Consolas"/>
                <w:color w:val="5A1227"/>
                <w:sz w:val="17"/>
              </w:rPr>
              <w:t>Document.IsRetained</w:t>
            </w:r>
          </w:p>
        </w:tc>
        <w:tc>
          <w:tcPr>
            <w:tcW w:type="dxa" w:w="1815"/>
          </w:tcPr>
          <w:p>
            <w:pPr>
              <w:spacing w:after="0" w:line="252" w:lineRule="auto"/>
            </w:pPr>
            <w:r>
              <w:rPr>
                <w:sz w:val="19"/>
              </w:rPr>
              <w:t>Implemented (review is deliberately manual)</w:t>
            </w:r>
          </w:p>
        </w:tc>
      </w:tr>
      <w:tr>
        <w:trPr>
          <w:cantSplit/>
        </w:trPr>
        <w:tc>
          <w:tcPr>
            <w:tcW w:type="dxa" w:w="2532"/>
            <w:shd w:val="clear" w:color="auto" w:fill="FAF6F7"/>
          </w:tcPr>
          <w:p>
            <w:pPr>
              <w:spacing w:after="0" w:line="252" w:lineRule="auto"/>
            </w:pPr>
            <w:r>
              <w:rPr>
                <w:sz w:val="19"/>
              </w:rPr>
              <w:t>Integrity &amp; confidentiality (5(1)(f), Art. 32)</w:t>
            </w:r>
          </w:p>
        </w:tc>
        <w:tc>
          <w:tcPr>
            <w:tcW w:type="dxa" w:w="2532"/>
            <w:shd w:val="clear" w:color="auto" w:fill="FAF6F7"/>
          </w:tcPr>
          <w:p>
            <w:pPr>
              <w:spacing w:after="0" w:line="252" w:lineRule="auto"/>
            </w:pPr>
            <w:r>
              <w:rPr>
                <w:sz w:val="19"/>
              </w:rPr>
              <w:t>See section 3.</w:t>
            </w:r>
          </w:p>
        </w:tc>
        <w:tc>
          <w:tcPr>
            <w:tcW w:type="dxa" w:w="2532"/>
            <w:shd w:val="clear" w:color="auto" w:fill="FAF6F7"/>
          </w:tcPr>
          <w:p>
            <w:pPr>
              <w:spacing w:after="0" w:line="252" w:lineRule="auto"/>
            </w:pPr>
          </w:p>
        </w:tc>
        <w:tc>
          <w:tcPr>
            <w:tcW w:type="dxa" w:w="1815"/>
            <w:shd w:val="clear" w:color="auto" w:fill="FAF6F7"/>
          </w:tcPr>
          <w:p>
            <w:pPr>
              <w:spacing w:after="0" w:line="252" w:lineRule="auto"/>
            </w:pPr>
            <w:r>
              <w:rPr>
                <w:sz w:val="19"/>
              </w:rPr>
              <w:t>Partly</w:t>
            </w:r>
          </w:p>
        </w:tc>
      </w:tr>
      <w:tr>
        <w:trPr>
          <w:cantSplit/>
        </w:trPr>
        <w:tc>
          <w:tcPr>
            <w:tcW w:type="dxa" w:w="2532"/>
          </w:tcPr>
          <w:p>
            <w:pPr>
              <w:spacing w:after="0" w:line="252" w:lineRule="auto"/>
            </w:pPr>
            <w:r>
              <w:rPr>
                <w:sz w:val="19"/>
              </w:rPr>
              <w:t>Accountability (5(2))</w:t>
            </w:r>
          </w:p>
        </w:tc>
        <w:tc>
          <w:tcPr>
            <w:tcW w:type="dxa" w:w="2532"/>
          </w:tcPr>
          <w:p>
            <w:pPr>
              <w:spacing w:after="0" w:line="252" w:lineRule="auto"/>
            </w:pPr>
            <w:r>
              <w:rPr>
                <w:sz w:val="19"/>
              </w:rPr>
              <w:t xml:space="preserve">Every read, write, download, export and anonymisation is written to </w:t>
            </w:r>
            <w:r>
              <w:rPr>
                <w:rFonts w:ascii="Consolas" w:hAnsi="Consolas"/>
                <w:color w:val="5A1227"/>
                <w:sz w:val="17"/>
              </w:rPr>
              <w:t>AuditEvents</w:t>
            </w:r>
            <w:r>
              <w:rPr>
                <w:sz w:val="19"/>
              </w:rPr>
              <w:t>; per-guest Access Log tab for Hub Managers/Admins; export history.</w:t>
            </w:r>
          </w:p>
        </w:tc>
        <w:tc>
          <w:tcPr>
            <w:tcW w:type="dxa" w:w="2532"/>
          </w:tcPr>
          <w:p>
            <w:pPr>
              <w:spacing w:after="0" w:line="252" w:lineRule="auto"/>
            </w:pPr>
            <w:r>
              <w:rPr>
                <w:rFonts w:ascii="Consolas" w:hAnsi="Consolas"/>
                <w:color w:val="5A1227"/>
                <w:sz w:val="17"/>
              </w:rPr>
              <w:t>AuditReadLoggingMiddleware</w:t>
            </w:r>
            <w:r>
              <w:rPr>
                <w:sz w:val="19"/>
              </w:rPr>
              <w:t xml:space="preserve">, </w:t>
            </w:r>
            <w:r>
              <w:rPr>
                <w:rFonts w:ascii="Consolas" w:hAnsi="Consolas"/>
                <w:color w:val="5A1227"/>
                <w:sz w:val="17"/>
              </w:rPr>
              <w:t>IAuditTrail</w:t>
            </w:r>
            <w:r>
              <w:rPr>
                <w:sz w:val="19"/>
              </w:rPr>
              <w:t xml:space="preserve">, </w:t>
            </w:r>
            <w:r>
              <w:rPr>
                <w:rFonts w:ascii="Consolas" w:hAnsi="Consolas"/>
                <w:color w:val="5A1227"/>
                <w:sz w:val="17"/>
              </w:rPr>
              <w:t>GuestAccessLogTabComponent</w:t>
            </w:r>
          </w:p>
        </w:tc>
        <w:tc>
          <w:tcPr>
            <w:tcW w:type="dxa" w:w="1815"/>
          </w:tcPr>
          <w:p>
            <w:pPr>
              <w:spacing w:after="0" w:line="252" w:lineRule="auto"/>
            </w:pPr>
            <w:r>
              <w:rPr>
                <w:sz w:val="19"/>
              </w:rPr>
              <w:t>Implemented</w:t>
            </w:r>
          </w:p>
        </w:tc>
      </w:tr>
    </w:tbl>
    <w:p>
      <w:pPr>
        <w:spacing w:after="40"/>
      </w:pPr>
    </w:p>
    <w:p>
      <w:pPr>
        <w:pStyle w:val="Heading2"/>
        <w:pBdr>
          <w:bottom w:val="single" w:sz="6" w:space="4" w:color="E8D5DB"/>
        </w:pBdr>
      </w:pPr>
      <w:r>
        <w:rPr/>
        <w:t>2. Data-subject rights — Chapter III</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840"/>
            <w:shd w:val="clear" w:color="auto" w:fill="8D1B3D"/>
          </w:tcPr>
          <w:p>
            <w:pPr>
              <w:spacing w:after="0" w:line="252" w:lineRule="auto"/>
            </w:pPr>
            <w:r>
              <w:rPr>
                <w:b/>
                <w:color w:val="FFFFFF"/>
                <w:sz w:val="19"/>
              </w:rPr>
              <w:t>Right</w:t>
            </w:r>
          </w:p>
        </w:tc>
        <w:tc>
          <w:tcPr>
            <w:tcW w:type="dxa" w:w="4517"/>
            <w:shd w:val="clear" w:color="auto" w:fill="8D1B3D"/>
          </w:tcPr>
          <w:p>
            <w:pPr>
              <w:spacing w:after="0" w:line="252" w:lineRule="auto"/>
            </w:pPr>
            <w:r>
              <w:rPr>
                <w:b/>
                <w:color w:val="FFFFFF"/>
                <w:sz w:val="19"/>
              </w:rPr>
              <w:t>Control in EMHIP</w:t>
            </w:r>
          </w:p>
        </w:tc>
        <w:tc>
          <w:tcPr>
            <w:tcW w:type="dxa" w:w="1054"/>
            <w:shd w:val="clear" w:color="auto" w:fill="8D1B3D"/>
          </w:tcPr>
          <w:p>
            <w:pPr>
              <w:spacing w:after="0" w:line="252" w:lineRule="auto"/>
            </w:pPr>
            <w:r>
              <w:rPr>
                <w:b/>
                <w:color w:val="FFFFFF"/>
                <w:sz w:val="19"/>
              </w:rPr>
              <w:t>Status</w:t>
            </w:r>
          </w:p>
        </w:tc>
      </w:tr>
      <w:tr>
        <w:trPr>
          <w:cantSplit/>
        </w:trPr>
        <w:tc>
          <w:tcPr>
            <w:tcW w:type="dxa" w:w="3840"/>
          </w:tcPr>
          <w:p>
            <w:pPr>
              <w:spacing w:after="0" w:line="252" w:lineRule="auto"/>
            </w:pPr>
            <w:r>
              <w:rPr>
                <w:sz w:val="19"/>
              </w:rPr>
              <w:t>Access (Art. 15)</w:t>
            </w:r>
          </w:p>
        </w:tc>
        <w:tc>
          <w:tcPr>
            <w:tcW w:type="dxa" w:w="4517"/>
          </w:tcPr>
          <w:p>
            <w:pPr>
              <w:spacing w:after="0" w:line="252" w:lineRule="auto"/>
            </w:pPr>
            <w:r>
              <w:rPr>
                <w:rFonts w:ascii="Consolas" w:hAnsi="Consolas"/>
                <w:color w:val="5A1227"/>
                <w:sz w:val="17"/>
              </w:rPr>
              <w:t>GET /guests/{id}/export</w:t>
            </w:r>
            <w:r>
              <w:rPr>
                <w:sz w:val="19"/>
              </w:rPr>
              <w:t xml:space="preserve"> builds the complete record (all tabs, documents metadata, urgent episodes, access log) as JSON; "Export Record" in the workspace; logged as a disclosure and in export history.</w:t>
            </w:r>
          </w:p>
        </w:tc>
        <w:tc>
          <w:tcPr>
            <w:tcW w:type="dxa" w:w="1054"/>
          </w:tcPr>
          <w:p>
            <w:pPr>
              <w:spacing w:after="0" w:line="252" w:lineRule="auto"/>
            </w:pPr>
            <w:r>
              <w:rPr>
                <w:sz w:val="19"/>
              </w:rPr>
              <w:t>Implemented</w:t>
            </w:r>
          </w:p>
        </w:tc>
      </w:tr>
      <w:tr>
        <w:trPr>
          <w:cantSplit/>
        </w:trPr>
        <w:tc>
          <w:tcPr>
            <w:tcW w:type="dxa" w:w="3840"/>
            <w:shd w:val="clear" w:color="auto" w:fill="FAF6F7"/>
          </w:tcPr>
          <w:p>
            <w:pPr>
              <w:spacing w:after="0" w:line="252" w:lineRule="auto"/>
            </w:pPr>
            <w:r>
              <w:rPr>
                <w:sz w:val="19"/>
              </w:rPr>
              <w:t>Rectification (Art. 16)</w:t>
            </w:r>
          </w:p>
        </w:tc>
        <w:tc>
          <w:tcPr>
            <w:tcW w:type="dxa" w:w="4517"/>
            <w:shd w:val="clear" w:color="auto" w:fill="FAF6F7"/>
          </w:tcPr>
          <w:p>
            <w:pPr>
              <w:spacing w:after="0" w:line="252" w:lineRule="auto"/>
            </w:pPr>
            <w:r>
              <w:rPr>
                <w:sz w:val="19"/>
              </w:rPr>
              <w:t>Demographics / contact details editable; clinical corrections are new versions, never overwrites.</w:t>
            </w:r>
          </w:p>
        </w:tc>
        <w:tc>
          <w:tcPr>
            <w:tcW w:type="dxa" w:w="1054"/>
            <w:shd w:val="clear" w:color="auto" w:fill="FAF6F7"/>
          </w:tcPr>
          <w:p>
            <w:pPr>
              <w:spacing w:after="0" w:line="252" w:lineRule="auto"/>
            </w:pPr>
            <w:r>
              <w:rPr>
                <w:sz w:val="19"/>
              </w:rPr>
              <w:t>Implemented</w:t>
            </w:r>
          </w:p>
        </w:tc>
      </w:tr>
      <w:tr>
        <w:trPr>
          <w:cantSplit/>
        </w:trPr>
        <w:tc>
          <w:tcPr>
            <w:tcW w:type="dxa" w:w="3840"/>
          </w:tcPr>
          <w:p>
            <w:pPr>
              <w:spacing w:after="0" w:line="252" w:lineRule="auto"/>
            </w:pPr>
            <w:r>
              <w:rPr>
                <w:sz w:val="19"/>
              </w:rPr>
              <w:t>Erasure (Art. 17)</w:t>
            </w:r>
          </w:p>
        </w:tc>
        <w:tc>
          <w:tcPr>
            <w:tcW w:type="dxa" w:w="4517"/>
          </w:tcPr>
          <w:p>
            <w:pPr>
              <w:spacing w:after="0" w:line="252" w:lineRule="auto"/>
            </w:pPr>
            <w:r>
              <w:rPr>
                <w:sz w:val="19"/>
              </w:rPr>
              <w:t>"Anonymise record": strips name, DOB (year kept), contact details, address, NHS number, GP and emergency-contact details; retires documents to the recycle bin; hides the record; reason kept on the audit log; blocked while an urgent episode is open. Health records that must be retained are anonymised rather than destroyed.</w:t>
            </w:r>
          </w:p>
        </w:tc>
        <w:tc>
          <w:tcPr>
            <w:tcW w:type="dxa" w:w="1054"/>
          </w:tcPr>
          <w:p>
            <w:pPr>
              <w:spacing w:after="0" w:line="252" w:lineRule="auto"/>
            </w:pPr>
            <w:r>
              <w:rPr>
                <w:sz w:val="19"/>
              </w:rPr>
              <w:t>Implemented</w:t>
            </w:r>
          </w:p>
        </w:tc>
      </w:tr>
      <w:tr>
        <w:trPr>
          <w:cantSplit/>
        </w:trPr>
        <w:tc>
          <w:tcPr>
            <w:tcW w:type="dxa" w:w="3840"/>
            <w:shd w:val="clear" w:color="auto" w:fill="FAF6F7"/>
          </w:tcPr>
          <w:p>
            <w:pPr>
              <w:spacing w:after="0" w:line="252" w:lineRule="auto"/>
            </w:pPr>
            <w:r>
              <w:rPr>
                <w:sz w:val="19"/>
              </w:rPr>
              <w:t>Restriction (Art. 18)</w:t>
            </w:r>
          </w:p>
        </w:tc>
        <w:tc>
          <w:tcPr>
            <w:tcW w:type="dxa" w:w="4517"/>
            <w:shd w:val="clear" w:color="auto" w:fill="FAF6F7"/>
          </w:tcPr>
          <w:p>
            <w:pPr>
              <w:spacing w:after="0" w:line="252" w:lineRule="auto"/>
            </w:pPr>
            <w:r>
              <w:rPr>
                <w:sz w:val="19"/>
              </w:rPr>
              <w:t>No dedicated "restrict processing" flag, and status cannot be set by hand — record the request as a pinned note on the guest so every user sees it, and stop further processing by agreement. A guest with no activity becomes Inactive automatically after the inactivity threshold (90 days by default).</w:t>
            </w:r>
          </w:p>
        </w:tc>
        <w:tc>
          <w:tcPr>
            <w:tcW w:type="dxa" w:w="1054"/>
            <w:shd w:val="clear" w:color="auto" w:fill="FAF6F7"/>
          </w:tcPr>
          <w:p>
            <w:pPr>
              <w:spacing w:after="0" w:line="252" w:lineRule="auto"/>
            </w:pPr>
            <w:r>
              <w:rPr>
                <w:sz w:val="19"/>
              </w:rPr>
              <w:t>Organisational</w:t>
            </w:r>
          </w:p>
        </w:tc>
      </w:tr>
      <w:tr>
        <w:trPr>
          <w:cantSplit/>
        </w:trPr>
        <w:tc>
          <w:tcPr>
            <w:tcW w:type="dxa" w:w="3840"/>
          </w:tcPr>
          <w:p>
            <w:pPr>
              <w:spacing w:after="0" w:line="252" w:lineRule="auto"/>
            </w:pPr>
            <w:r>
              <w:rPr>
                <w:sz w:val="19"/>
              </w:rPr>
              <w:t>Portability (Art. 20)</w:t>
            </w:r>
          </w:p>
        </w:tc>
        <w:tc>
          <w:tcPr>
            <w:tcW w:type="dxa" w:w="4517"/>
          </w:tcPr>
          <w:p>
            <w:pPr>
              <w:spacing w:after="0" w:line="252" w:lineRule="auto"/>
            </w:pPr>
            <w:r>
              <w:rPr>
                <w:sz w:val="19"/>
              </w:rPr>
              <w:t>The Art. 15 export is machine-readable JSON.</w:t>
            </w:r>
          </w:p>
        </w:tc>
        <w:tc>
          <w:tcPr>
            <w:tcW w:type="dxa" w:w="1054"/>
          </w:tcPr>
          <w:p>
            <w:pPr>
              <w:spacing w:after="0" w:line="252" w:lineRule="auto"/>
            </w:pPr>
            <w:r>
              <w:rPr>
                <w:sz w:val="19"/>
              </w:rPr>
              <w:t>Implemented</w:t>
            </w:r>
          </w:p>
        </w:tc>
      </w:tr>
      <w:tr>
        <w:trPr>
          <w:cantSplit/>
        </w:trPr>
        <w:tc>
          <w:tcPr>
            <w:tcW w:type="dxa" w:w="3840"/>
            <w:shd w:val="clear" w:color="auto" w:fill="FAF6F7"/>
          </w:tcPr>
          <w:p>
            <w:pPr>
              <w:spacing w:after="0" w:line="252" w:lineRule="auto"/>
            </w:pPr>
            <w:r>
              <w:rPr>
                <w:sz w:val="19"/>
              </w:rPr>
              <w:t>Objection (Art. 21) / Automated decisions (Art. 22)</w:t>
            </w:r>
          </w:p>
        </w:tc>
        <w:tc>
          <w:tcPr>
            <w:tcW w:type="dxa" w:w="4517"/>
            <w:shd w:val="clear" w:color="auto" w:fill="FAF6F7"/>
          </w:tcPr>
          <w:p>
            <w:pPr>
              <w:spacing w:after="0" w:line="252" w:lineRule="auto"/>
            </w:pPr>
            <w:r>
              <w:rPr>
                <w:sz w:val="19"/>
              </w:rPr>
              <w:t>No automated decision-making: the escalation worker only surfaces flags a clinician raised; humans decide. Objections handled by process.</w:t>
            </w:r>
          </w:p>
        </w:tc>
        <w:tc>
          <w:tcPr>
            <w:tcW w:type="dxa" w:w="1054"/>
            <w:shd w:val="clear" w:color="auto" w:fill="FAF6F7"/>
          </w:tcPr>
          <w:p>
            <w:pPr>
              <w:spacing w:after="0" w:line="252" w:lineRule="auto"/>
            </w:pPr>
            <w:r>
              <w:rPr>
                <w:sz w:val="19"/>
              </w:rPr>
              <w:t>Organisational</w:t>
            </w:r>
          </w:p>
        </w:tc>
      </w:tr>
    </w:tbl>
    <w:p>
      <w:pPr>
        <w:spacing w:after="40"/>
      </w:pPr>
    </w:p>
    <w:p>
      <w:pPr>
        <w:pStyle w:val="Heading2"/>
        <w:pBdr>
          <w:bottom w:val="single" w:sz="6" w:space="4" w:color="E8D5DB"/>
        </w:pBdr>
      </w:pPr>
      <w:r>
        <w:rPr/>
        <w:t>3. Security of processing — Article 32</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389"/>
            <w:shd w:val="clear" w:color="auto" w:fill="8D1B3D"/>
          </w:tcPr>
          <w:p>
            <w:pPr>
              <w:spacing w:after="0" w:line="252" w:lineRule="auto"/>
            </w:pPr>
            <w:r>
              <w:rPr>
                <w:b/>
                <w:color w:val="FFFFFF"/>
                <w:sz w:val="19"/>
              </w:rPr>
              <w:t>Control</w:t>
            </w:r>
          </w:p>
        </w:tc>
        <w:tc>
          <w:tcPr>
            <w:tcW w:type="dxa" w:w="4628"/>
            <w:shd w:val="clear" w:color="auto" w:fill="8D1B3D"/>
          </w:tcPr>
          <w:p>
            <w:pPr>
              <w:spacing w:after="0" w:line="252" w:lineRule="auto"/>
            </w:pPr>
            <w:r>
              <w:rPr>
                <w:b/>
                <w:color w:val="FFFFFF"/>
                <w:sz w:val="19"/>
              </w:rPr>
              <w:t>Detail</w:t>
            </w:r>
          </w:p>
        </w:tc>
        <w:tc>
          <w:tcPr>
            <w:tcW w:type="dxa" w:w="3394"/>
            <w:shd w:val="clear" w:color="auto" w:fill="8D1B3D"/>
          </w:tcPr>
          <w:p>
            <w:pPr>
              <w:spacing w:after="0" w:line="252" w:lineRule="auto"/>
            </w:pPr>
            <w:r>
              <w:rPr>
                <w:b/>
                <w:color w:val="FFFFFF"/>
                <w:sz w:val="19"/>
              </w:rPr>
              <w:t>Where</w:t>
            </w:r>
          </w:p>
        </w:tc>
      </w:tr>
      <w:tr>
        <w:trPr>
          <w:cantSplit/>
        </w:trPr>
        <w:tc>
          <w:tcPr>
            <w:tcW w:type="dxa" w:w="1389"/>
          </w:tcPr>
          <w:p>
            <w:pPr>
              <w:spacing w:after="0" w:line="252" w:lineRule="auto"/>
            </w:pPr>
            <w:r>
              <w:rPr>
                <w:sz w:val="19"/>
              </w:rPr>
              <w:t>Transport</w:t>
            </w:r>
          </w:p>
        </w:tc>
        <w:tc>
          <w:tcPr>
            <w:tcW w:type="dxa" w:w="4628"/>
          </w:tcPr>
          <w:p>
            <w:pPr>
              <w:spacing w:after="0" w:line="252" w:lineRule="auto"/>
            </w:pPr>
            <w:r>
              <w:rPr>
                <w:sz w:val="19"/>
              </w:rPr>
              <w:t>TLS terminated at the host proxy; HSTS from the API (outside Docker) and from nginx.</w:t>
            </w:r>
          </w:p>
        </w:tc>
        <w:tc>
          <w:tcPr>
            <w:tcW w:type="dxa" w:w="3394"/>
          </w:tcPr>
          <w:p>
            <w:pPr>
              <w:spacing w:after="0" w:line="252" w:lineRule="auto"/>
            </w:pPr>
            <w:r>
              <w:rPr>
                <w:rFonts w:ascii="Consolas" w:hAnsi="Consolas"/>
                <w:color w:val="5A1227"/>
                <w:sz w:val="17"/>
              </w:rPr>
              <w:t>Program.cs</w:t>
            </w:r>
            <w:r>
              <w:rPr>
                <w:sz w:val="19"/>
              </w:rPr>
              <w:t xml:space="preserve">, </w:t>
            </w:r>
            <w:r>
              <w:rPr>
                <w:rFonts w:ascii="Consolas" w:hAnsi="Consolas"/>
                <w:color w:val="5A1227"/>
                <w:sz w:val="17"/>
              </w:rPr>
              <w:t>client/nginx.conf</w:t>
            </w:r>
          </w:p>
        </w:tc>
      </w:tr>
      <w:tr>
        <w:trPr>
          <w:cantSplit/>
        </w:trPr>
        <w:tc>
          <w:tcPr>
            <w:tcW w:type="dxa" w:w="1389"/>
            <w:shd w:val="clear" w:color="auto" w:fill="FAF6F7"/>
          </w:tcPr>
          <w:p>
            <w:pPr>
              <w:spacing w:after="0" w:line="252" w:lineRule="auto"/>
            </w:pPr>
            <w:r>
              <w:rPr>
                <w:sz w:val="19"/>
              </w:rPr>
              <w:t>Browser hardening</w:t>
            </w:r>
          </w:p>
        </w:tc>
        <w:tc>
          <w:tcPr>
            <w:tcW w:type="dxa" w:w="4628"/>
            <w:shd w:val="clear" w:color="auto" w:fill="FAF6F7"/>
          </w:tcPr>
          <w:p>
            <w:pPr>
              <w:spacing w:after="0" w:line="252" w:lineRule="auto"/>
            </w:pPr>
            <w:r>
              <w:rPr>
                <w:rFonts w:ascii="Consolas" w:hAnsi="Consolas"/>
                <w:color w:val="5A1227"/>
                <w:sz w:val="17"/>
              </w:rPr>
              <w:t>Content-Security-Policy</w:t>
            </w:r>
            <w:r>
              <w:rPr>
                <w:sz w:val="19"/>
              </w:rPr>
              <w:t xml:space="preserve">, </w:t>
            </w:r>
            <w:r>
              <w:rPr>
                <w:rFonts w:ascii="Consolas" w:hAnsi="Consolas"/>
                <w:color w:val="5A1227"/>
                <w:sz w:val="17"/>
              </w:rPr>
              <w:t>X-Content-Type-Options: nosniff</w:t>
            </w:r>
            <w:r>
              <w:rPr>
                <w:sz w:val="19"/>
              </w:rPr>
              <w:t xml:space="preserve">, </w:t>
            </w:r>
            <w:r>
              <w:rPr>
                <w:rFonts w:ascii="Consolas" w:hAnsi="Consolas"/>
                <w:color w:val="5A1227"/>
                <w:sz w:val="17"/>
              </w:rPr>
              <w:t>X-Frame-Options: DENY</w:t>
            </w:r>
            <w:r>
              <w:rPr>
                <w:sz w:val="19"/>
              </w:rPr>
              <w:t xml:space="preserve">, </w:t>
            </w:r>
            <w:r>
              <w:rPr>
                <w:rFonts w:ascii="Consolas" w:hAnsi="Consolas"/>
                <w:color w:val="5A1227"/>
                <w:sz w:val="17"/>
              </w:rPr>
              <w:t>Referrer-Policy: no-referrer</w:t>
            </w:r>
            <w:r>
              <w:rPr>
                <w:sz w:val="19"/>
              </w:rPr>
              <w:t xml:space="preserve">, </w:t>
            </w:r>
            <w:r>
              <w:rPr>
                <w:rFonts w:ascii="Consolas" w:hAnsi="Consolas"/>
                <w:color w:val="5A1227"/>
                <w:sz w:val="17"/>
              </w:rPr>
              <w:t>Permissions-Policy</w:t>
            </w:r>
            <w:r>
              <w:rPr>
                <w:sz w:val="19"/>
              </w:rPr>
              <w:t xml:space="preserve">, </w:t>
            </w:r>
            <w:r>
              <w:rPr>
                <w:rFonts w:ascii="Consolas" w:hAnsi="Consolas"/>
                <w:color w:val="5A1227"/>
                <w:sz w:val="17"/>
              </w:rPr>
              <w:t>Cache-Control: no-store</w:t>
            </w:r>
            <w:r>
              <w:rPr>
                <w:sz w:val="19"/>
              </w:rPr>
              <w:t xml:space="preserve"> on every API response.</w:t>
            </w:r>
          </w:p>
        </w:tc>
        <w:tc>
          <w:tcPr>
            <w:tcW w:type="dxa" w:w="3394"/>
            <w:shd w:val="clear" w:color="auto" w:fill="FAF6F7"/>
          </w:tcPr>
          <w:p>
            <w:pPr>
              <w:spacing w:after="0" w:line="252" w:lineRule="auto"/>
            </w:pPr>
            <w:r>
              <w:rPr>
                <w:rFonts w:ascii="Consolas" w:hAnsi="Consolas"/>
                <w:color w:val="5A1227"/>
                <w:sz w:val="17"/>
              </w:rPr>
              <w:t>SecurityHeadersMiddleware</w:t>
            </w:r>
            <w:r>
              <w:rPr>
                <w:sz w:val="19"/>
              </w:rPr>
              <w:t xml:space="preserve">, </w:t>
            </w:r>
            <w:r>
              <w:rPr>
                <w:rFonts w:ascii="Consolas" w:hAnsi="Consolas"/>
                <w:color w:val="5A1227"/>
                <w:sz w:val="17"/>
              </w:rPr>
              <w:t>client/nginx.conf</w:t>
            </w:r>
          </w:p>
        </w:tc>
      </w:tr>
      <w:tr>
        <w:trPr>
          <w:cantSplit/>
        </w:trPr>
        <w:tc>
          <w:tcPr>
            <w:tcW w:type="dxa" w:w="1389"/>
          </w:tcPr>
          <w:p>
            <w:pPr>
              <w:spacing w:after="0" w:line="252" w:lineRule="auto"/>
            </w:pPr>
            <w:r>
              <w:rPr>
                <w:sz w:val="19"/>
              </w:rPr>
              <w:t>Authentication</w:t>
            </w:r>
          </w:p>
        </w:tc>
        <w:tc>
          <w:tcPr>
            <w:tcW w:type="dxa" w:w="4628"/>
          </w:tcPr>
          <w:p>
            <w:pPr>
              <w:spacing w:after="0" w:line="252" w:lineRule="auto"/>
            </w:pPr>
            <w:r>
              <w:rPr>
                <w:sz w:val="19"/>
              </w:rPr>
              <w:t xml:space="preserve">ASP.NET Core Identity, 10-char minimum password, </w:t>
            </w:r>
            <w:r>
              <w:rPr>
                <w:b/>
                <w:sz w:val="19"/>
              </w:rPr>
              <w:t>lockout after 5 failures for 15 minutes</w:t>
            </w:r>
            <w:r>
              <w:rPr>
                <w:sz w:val="19"/>
              </w:rPr>
              <w:t xml:space="preserve">, </w:t>
            </w:r>
            <w:r>
              <w:rPr>
                <w:b/>
                <w:sz w:val="19"/>
              </w:rPr>
              <w:t>10 requests/minute per IP</w:t>
            </w:r>
            <w:r>
              <w:rPr>
                <w:sz w:val="19"/>
              </w:rPr>
              <w:t xml:space="preserve"> on login / forgot / reset. Same response for unknown, inactive, locked and wrong-password accounts.</w:t>
            </w:r>
          </w:p>
        </w:tc>
        <w:tc>
          <w:tcPr>
            <w:tcW w:type="dxa" w:w="3394"/>
          </w:tcPr>
          <w:p>
            <w:pPr>
              <w:spacing w:after="0" w:line="252" w:lineRule="auto"/>
            </w:pPr>
            <w:r>
              <w:rPr>
                <w:rFonts w:ascii="Consolas" w:hAnsi="Consolas"/>
                <w:color w:val="5A1227"/>
                <w:sz w:val="17"/>
              </w:rPr>
              <w:t>Program.cs</w:t>
            </w:r>
            <w:r>
              <w:rPr>
                <w:sz w:val="19"/>
              </w:rPr>
              <w:t xml:space="preserve">, </w:t>
            </w:r>
            <w:r>
              <w:rPr>
                <w:rFonts w:ascii="Consolas" w:hAnsi="Consolas"/>
                <w:color w:val="5A1227"/>
                <w:sz w:val="17"/>
              </w:rPr>
              <w:t>AuthController</w:t>
            </w:r>
          </w:p>
        </w:tc>
      </w:tr>
      <w:tr>
        <w:trPr>
          <w:cantSplit/>
        </w:trPr>
        <w:tc>
          <w:tcPr>
            <w:tcW w:type="dxa" w:w="1389"/>
            <w:shd w:val="clear" w:color="auto" w:fill="FAF6F7"/>
          </w:tcPr>
          <w:p>
            <w:pPr>
              <w:spacing w:after="0" w:line="252" w:lineRule="auto"/>
            </w:pPr>
            <w:r>
              <w:rPr>
                <w:sz w:val="19"/>
              </w:rPr>
              <w:t>Session</w:t>
            </w:r>
          </w:p>
        </w:tc>
        <w:tc>
          <w:tcPr>
            <w:tcW w:type="dxa" w:w="4628"/>
            <w:shd w:val="clear" w:color="auto" w:fill="FAF6F7"/>
          </w:tcPr>
          <w:p>
            <w:pPr>
              <w:spacing w:after="0" w:line="252" w:lineRule="auto"/>
            </w:pPr>
            <w:r>
              <w:rPr>
                <w:sz w:val="19"/>
              </w:rPr>
              <w:t xml:space="preserve">JWT valid 8 h; </w:t>
            </w:r>
            <w:r>
              <w:rPr>
                <w:b/>
                <w:sz w:val="19"/>
              </w:rPr>
              <w:t>automatic sign-out after 30 minutes idle</w:t>
            </w:r>
            <w:r>
              <w:rPr>
                <w:sz w:val="19"/>
              </w:rPr>
              <w:t xml:space="preserve"> (setting </w:t>
            </w:r>
            <w:r>
              <w:rPr>
                <w:rFonts w:ascii="Consolas" w:hAnsi="Consolas"/>
                <w:color w:val="5A1227"/>
                <w:sz w:val="17"/>
              </w:rPr>
              <w:t>security.sessionIdleMinutes</w:t>
            </w:r>
            <w:r>
              <w:rPr>
                <w:sz w:val="19"/>
              </w:rPr>
              <w:t>, warning 60 s before); token only ever sent to EMHIP's own API.</w:t>
            </w:r>
          </w:p>
        </w:tc>
        <w:tc>
          <w:tcPr>
            <w:tcW w:type="dxa" w:w="3394"/>
            <w:shd w:val="clear" w:color="auto" w:fill="FAF6F7"/>
          </w:tcPr>
          <w:p>
            <w:pPr>
              <w:spacing w:after="0" w:line="252" w:lineRule="auto"/>
            </w:pPr>
            <w:r>
              <w:rPr>
                <w:rFonts w:ascii="Consolas" w:hAnsi="Consolas"/>
                <w:color w:val="5A1227"/>
                <w:sz w:val="17"/>
              </w:rPr>
              <w:t>IdleTimeoutService</w:t>
            </w:r>
            <w:r>
              <w:rPr>
                <w:sz w:val="19"/>
              </w:rPr>
              <w:t xml:space="preserve">, </w:t>
            </w:r>
            <w:r>
              <w:rPr>
                <w:rFonts w:ascii="Consolas" w:hAnsi="Consolas"/>
                <w:color w:val="5A1227"/>
                <w:sz w:val="17"/>
              </w:rPr>
              <w:t>auth.interceptor.ts</w:t>
            </w:r>
          </w:p>
        </w:tc>
      </w:tr>
      <w:tr>
        <w:trPr>
          <w:cantSplit/>
        </w:trPr>
        <w:tc>
          <w:tcPr>
            <w:tcW w:type="dxa" w:w="1389"/>
          </w:tcPr>
          <w:p>
            <w:pPr>
              <w:spacing w:after="0" w:line="252" w:lineRule="auto"/>
            </w:pPr>
            <w:r>
              <w:rPr>
                <w:sz w:val="19"/>
              </w:rPr>
              <w:t>Authorisation</w:t>
            </w:r>
          </w:p>
        </w:tc>
        <w:tc>
          <w:tcPr>
            <w:tcW w:type="dxa" w:w="4628"/>
          </w:tcPr>
          <w:p>
            <w:pPr>
              <w:spacing w:after="0" w:line="252" w:lineRule="auto"/>
            </w:pPr>
            <w:r>
              <w:rPr>
                <w:sz w:val="19"/>
              </w:rPr>
              <w:t>Per-permission policies; hub scoping; author-only edits on draft notes and attachments.</w:t>
            </w:r>
          </w:p>
        </w:tc>
        <w:tc>
          <w:tcPr>
            <w:tcW w:type="dxa" w:w="3394"/>
          </w:tcPr>
          <w:p>
            <w:pPr>
              <w:spacing w:after="0" w:line="252" w:lineRule="auto"/>
            </w:pPr>
            <w:r>
              <w:rPr>
                <w:rFonts w:ascii="Consolas" w:hAnsi="Consolas"/>
                <w:color w:val="5A1227"/>
                <w:sz w:val="17"/>
              </w:rPr>
              <w:t>Permissions.cs</w:t>
            </w:r>
            <w:r>
              <w:rPr>
                <w:sz w:val="19"/>
              </w:rPr>
              <w:t>, command handlers</w:t>
            </w:r>
          </w:p>
        </w:tc>
      </w:tr>
      <w:tr>
        <w:trPr>
          <w:cantSplit/>
        </w:trPr>
        <w:tc>
          <w:tcPr>
            <w:tcW w:type="dxa" w:w="1389"/>
            <w:shd w:val="clear" w:color="auto" w:fill="FAF6F7"/>
          </w:tcPr>
          <w:p>
            <w:pPr>
              <w:spacing w:after="0" w:line="252" w:lineRule="auto"/>
            </w:pPr>
            <w:r>
              <w:rPr>
                <w:sz w:val="19"/>
              </w:rPr>
              <w:t>Integrity</w:t>
            </w:r>
          </w:p>
        </w:tc>
        <w:tc>
          <w:tcPr>
            <w:tcW w:type="dxa" w:w="4628"/>
            <w:shd w:val="clear" w:color="auto" w:fill="FAF6F7"/>
          </w:tcPr>
          <w:p>
            <w:pPr>
              <w:spacing w:after="0" w:line="252" w:lineRule="auto"/>
            </w:pPr>
            <w:r>
              <w:rPr>
                <w:sz w:val="19"/>
              </w:rPr>
              <w:t>SHA-256 recorded for every document version and returned on download; storage keys sanitised; path-escape guard on local storage.</w:t>
            </w:r>
          </w:p>
        </w:tc>
        <w:tc>
          <w:tcPr>
            <w:tcW w:type="dxa" w:w="3394"/>
            <w:shd w:val="clear" w:color="auto" w:fill="FAF6F7"/>
          </w:tcPr>
          <w:p>
            <w:pPr>
              <w:spacing w:after="0" w:line="252" w:lineRule="auto"/>
            </w:pPr>
            <w:r>
              <w:rPr>
                <w:rFonts w:ascii="Consolas" w:hAnsi="Consolas"/>
                <w:color w:val="5A1227"/>
                <w:sz w:val="17"/>
              </w:rPr>
              <w:t>DocumentCommands</w:t>
            </w:r>
            <w:r>
              <w:rPr>
                <w:sz w:val="19"/>
              </w:rPr>
              <w:t xml:space="preserve">, </w:t>
            </w:r>
            <w:r>
              <w:rPr>
                <w:rFonts w:ascii="Consolas" w:hAnsi="Consolas"/>
                <w:color w:val="5A1227"/>
                <w:sz w:val="17"/>
              </w:rPr>
              <w:t>LocalDocumentStorage</w:t>
            </w:r>
          </w:p>
        </w:tc>
      </w:tr>
      <w:tr>
        <w:trPr>
          <w:cantSplit/>
        </w:trPr>
        <w:tc>
          <w:tcPr>
            <w:tcW w:type="dxa" w:w="1389"/>
          </w:tcPr>
          <w:p>
            <w:pPr>
              <w:spacing w:after="0" w:line="252" w:lineRule="auto"/>
            </w:pPr>
            <w:r>
              <w:rPr>
                <w:sz w:val="19"/>
              </w:rPr>
              <w:t>Service-to-service</w:t>
            </w:r>
          </w:p>
        </w:tc>
        <w:tc>
          <w:tcPr>
            <w:tcW w:type="dxa" w:w="4628"/>
          </w:tcPr>
          <w:p>
            <w:pPr>
              <w:spacing w:after="0" w:line="252" w:lineRule="auto"/>
            </w:pPr>
            <w:r>
              <w:rPr>
                <w:sz w:val="19"/>
              </w:rPr>
              <w:t>Worker → API secret compared in constant time.</w:t>
            </w:r>
          </w:p>
        </w:tc>
        <w:tc>
          <w:tcPr>
            <w:tcW w:type="dxa" w:w="3394"/>
          </w:tcPr>
          <w:p>
            <w:pPr>
              <w:spacing w:after="0" w:line="252" w:lineRule="auto"/>
            </w:pPr>
            <w:r>
              <w:rPr>
                <w:rFonts w:ascii="Consolas" w:hAnsi="Consolas"/>
                <w:color w:val="5A1227"/>
                <w:sz w:val="17"/>
              </w:rPr>
              <w:t>InternalNotificationsController</w:t>
            </w:r>
          </w:p>
        </w:tc>
      </w:tr>
      <w:tr>
        <w:trPr>
          <w:cantSplit/>
        </w:trPr>
        <w:tc>
          <w:tcPr>
            <w:tcW w:type="dxa" w:w="1389"/>
            <w:shd w:val="clear" w:color="auto" w:fill="FAF6F7"/>
          </w:tcPr>
          <w:p>
            <w:pPr>
              <w:spacing w:after="0" w:line="252" w:lineRule="auto"/>
            </w:pPr>
            <w:r>
              <w:rPr>
                <w:sz w:val="19"/>
              </w:rPr>
              <w:t>Encryption at rest</w:t>
            </w:r>
          </w:p>
        </w:tc>
        <w:tc>
          <w:tcPr>
            <w:tcW w:type="dxa" w:w="4628"/>
            <w:shd w:val="clear" w:color="auto" w:fill="FAF6F7"/>
          </w:tcPr>
          <w:p>
            <w:pPr>
              <w:spacing w:after="0" w:line="252" w:lineRule="auto"/>
            </w:pPr>
            <w:r>
              <w:rPr>
                <w:b/>
                <w:sz w:val="19"/>
              </w:rPr>
              <w:t>Not in the application.</w:t>
            </w:r>
            <w:r>
              <w:rPr>
                <w:sz w:val="19"/>
              </w:rPr>
              <w:t xml:space="preserve"> Enable SQL Server TDE (or Always Encrypted for </w:t>
            </w:r>
            <w:r>
              <w:rPr>
                <w:rFonts w:ascii="Consolas" w:hAnsi="Consolas"/>
                <w:color w:val="5A1227"/>
                <w:sz w:val="17"/>
              </w:rPr>
              <w:t>NhsNumber</w:t>
            </w:r>
            <w:r>
              <w:rPr>
                <w:sz w:val="19"/>
              </w:rPr>
              <w:t>, contact fields) and encrypted backups at the platform level.</w:t>
            </w:r>
          </w:p>
        </w:tc>
        <w:tc>
          <w:tcPr>
            <w:tcW w:type="dxa" w:w="3394"/>
            <w:shd w:val="clear" w:color="auto" w:fill="FAF6F7"/>
          </w:tcPr>
          <w:p>
            <w:pPr>
              <w:spacing w:after="0" w:line="252" w:lineRule="auto"/>
            </w:pPr>
            <w:r>
              <w:rPr>
                <w:sz w:val="19"/>
              </w:rPr>
              <w:t>Organisational / infrastructure</w:t>
            </w:r>
          </w:p>
        </w:tc>
      </w:tr>
      <w:tr>
        <w:trPr>
          <w:cantSplit/>
        </w:trPr>
        <w:tc>
          <w:tcPr>
            <w:tcW w:type="dxa" w:w="1389"/>
          </w:tcPr>
          <w:p>
            <w:pPr>
              <w:spacing w:after="0" w:line="252" w:lineRule="auto"/>
            </w:pPr>
            <w:r>
              <w:rPr>
                <w:sz w:val="19"/>
              </w:rPr>
              <w:t>MFA</w:t>
            </w:r>
          </w:p>
        </w:tc>
        <w:tc>
          <w:tcPr>
            <w:tcW w:type="dxa" w:w="4628"/>
          </w:tcPr>
          <w:p>
            <w:pPr>
              <w:spacing w:after="0" w:line="252" w:lineRule="auto"/>
            </w:pPr>
            <w:r>
              <w:rPr>
                <w:sz w:val="19"/>
              </w:rPr>
              <w:t>Not implemented; NHS DSPT strongly recommends MFA for clinical systems.</w:t>
            </w:r>
          </w:p>
        </w:tc>
        <w:tc>
          <w:tcPr>
            <w:tcW w:type="dxa" w:w="3394"/>
          </w:tcPr>
          <w:p>
            <w:pPr>
              <w:spacing w:after="0" w:line="252" w:lineRule="auto"/>
            </w:pPr>
            <w:r>
              <w:rPr>
                <w:sz w:val="19"/>
              </w:rPr>
              <w:t>Organisational / roadmap</w:t>
            </w:r>
          </w:p>
        </w:tc>
      </w:tr>
    </w:tbl>
    <w:p>
      <w:pPr>
        <w:spacing w:after="40"/>
      </w:pPr>
    </w:p>
    <w:p>
      <w:pPr>
        <w:pStyle w:val="Heading2"/>
        <w:pBdr>
          <w:bottom w:val="single" w:sz="6" w:space="4" w:color="E8D5DB"/>
        </w:pBdr>
      </w:pPr>
      <w:r>
        <w:rPr/>
        <w:t>4. Records of processing — Article 30 (data inventory)</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931"/>
            <w:shd w:val="clear" w:color="auto" w:fill="8D1B3D"/>
          </w:tcPr>
          <w:p>
            <w:pPr>
              <w:spacing w:after="0" w:line="252" w:lineRule="auto"/>
            </w:pPr>
            <w:r>
              <w:rPr>
                <w:b/>
                <w:color w:val="FFFFFF"/>
                <w:sz w:val="19"/>
              </w:rPr>
              <w:t>Data set</w:t>
            </w:r>
          </w:p>
        </w:tc>
        <w:tc>
          <w:tcPr>
            <w:tcW w:type="dxa" w:w="3103"/>
            <w:shd w:val="clear" w:color="auto" w:fill="8D1B3D"/>
          </w:tcPr>
          <w:p>
            <w:pPr>
              <w:spacing w:after="0" w:line="252" w:lineRule="auto"/>
            </w:pPr>
            <w:r>
              <w:rPr>
                <w:b/>
                <w:color w:val="FFFFFF"/>
                <w:sz w:val="19"/>
              </w:rPr>
              <w:t>Content</w:t>
            </w:r>
          </w:p>
        </w:tc>
        <w:tc>
          <w:tcPr>
            <w:tcW w:type="dxa" w:w="2275"/>
            <w:shd w:val="clear" w:color="auto" w:fill="8D1B3D"/>
          </w:tcPr>
          <w:p>
            <w:pPr>
              <w:spacing w:after="0" w:line="252" w:lineRule="auto"/>
            </w:pPr>
            <w:r>
              <w:rPr>
                <w:b/>
                <w:color w:val="FFFFFF"/>
                <w:sz w:val="19"/>
              </w:rPr>
              <w:t>Category</w:t>
            </w:r>
          </w:p>
        </w:tc>
        <w:tc>
          <w:tcPr>
            <w:tcW w:type="dxa" w:w="3103"/>
            <w:shd w:val="clear" w:color="auto" w:fill="8D1B3D"/>
          </w:tcPr>
          <w:p>
            <w:pPr>
              <w:spacing w:after="0" w:line="252" w:lineRule="auto"/>
            </w:pPr>
            <w:r>
              <w:rPr>
                <w:b/>
                <w:color w:val="FFFFFF"/>
                <w:sz w:val="19"/>
              </w:rPr>
              <w:t>Retention</w:t>
            </w:r>
          </w:p>
        </w:tc>
      </w:tr>
      <w:tr>
        <w:trPr>
          <w:cantSplit/>
        </w:trPr>
        <w:tc>
          <w:tcPr>
            <w:tcW w:type="dxa" w:w="931"/>
          </w:tcPr>
          <w:p>
            <w:pPr>
              <w:spacing w:after="0" w:line="252" w:lineRule="auto"/>
            </w:pPr>
            <w:r>
              <w:rPr>
                <w:sz w:val="19"/>
              </w:rPr>
              <w:t>Guest</w:t>
            </w:r>
          </w:p>
        </w:tc>
        <w:tc>
          <w:tcPr>
            <w:tcW w:type="dxa" w:w="3103"/>
          </w:tcPr>
          <w:p>
            <w:pPr>
              <w:spacing w:after="0" w:line="252" w:lineRule="auto"/>
            </w:pPr>
            <w:r>
              <w:rPr>
                <w:sz w:val="19"/>
              </w:rPr>
              <w:t>Name, DOB, gender, phone, email, address, postcode, consent, status, pathway</w:t>
            </w:r>
          </w:p>
        </w:tc>
        <w:tc>
          <w:tcPr>
            <w:tcW w:type="dxa" w:w="2275"/>
          </w:tcPr>
          <w:p>
            <w:pPr>
              <w:spacing w:after="0" w:line="252" w:lineRule="auto"/>
            </w:pPr>
            <w:r>
              <w:rPr>
                <w:sz w:val="19"/>
              </w:rPr>
              <w:t>Personal</w:t>
            </w:r>
          </w:p>
        </w:tc>
        <w:tc>
          <w:tcPr>
            <w:tcW w:type="dxa" w:w="3103"/>
          </w:tcPr>
          <w:p>
            <w:pPr>
              <w:spacing w:after="0" w:line="252" w:lineRule="auto"/>
            </w:pPr>
            <w:r>
              <w:rPr>
                <w:rFonts w:ascii="Consolas" w:hAnsi="Consolas"/>
                <w:color w:val="5A1227"/>
                <w:sz w:val="17"/>
              </w:rPr>
              <w:t>compliance.recordRetentionYears</w:t>
            </w:r>
            <w:r>
              <w:rPr>
                <w:sz w:val="19"/>
              </w:rPr>
              <w:t xml:space="preserve"> (20 y) then anonymise</w:t>
            </w:r>
          </w:p>
        </w:tc>
      </w:tr>
      <w:tr>
        <w:trPr>
          <w:cantSplit/>
        </w:trPr>
        <w:tc>
          <w:tcPr>
            <w:tcW w:type="dxa" w:w="931"/>
            <w:shd w:val="clear" w:color="auto" w:fill="FAF6F7"/>
          </w:tcPr>
          <w:p>
            <w:pPr>
              <w:spacing w:after="0" w:line="252" w:lineRule="auto"/>
            </w:pPr>
            <w:r>
              <w:rPr>
                <w:sz w:val="19"/>
              </w:rPr>
              <w:t>Guest demographics</w:t>
            </w:r>
          </w:p>
        </w:tc>
        <w:tc>
          <w:tcPr>
            <w:tcW w:type="dxa" w:w="3103"/>
            <w:shd w:val="clear" w:color="auto" w:fill="FAF6F7"/>
          </w:tcPr>
          <w:p>
            <w:pPr>
              <w:spacing w:after="0" w:line="252" w:lineRule="auto"/>
            </w:pPr>
            <w:r>
              <w:rPr>
                <w:sz w:val="19"/>
              </w:rPr>
              <w:t>Ethnicity, nationality, language, housing, employment, marital status, country of origin, emergency contact, GP, NHS number</w:t>
            </w:r>
          </w:p>
        </w:tc>
        <w:tc>
          <w:tcPr>
            <w:tcW w:type="dxa" w:w="2275"/>
            <w:shd w:val="clear" w:color="auto" w:fill="FAF6F7"/>
          </w:tcPr>
          <w:p>
            <w:pPr>
              <w:spacing w:after="0" w:line="252" w:lineRule="auto"/>
            </w:pPr>
            <w:r>
              <w:rPr>
                <w:sz w:val="19"/>
              </w:rPr>
              <w:t>Special category (ethnicity, health context)</w:t>
            </w:r>
          </w:p>
        </w:tc>
        <w:tc>
          <w:tcPr>
            <w:tcW w:type="dxa" w:w="3103"/>
            <w:shd w:val="clear" w:color="auto" w:fill="FAF6F7"/>
          </w:tcPr>
          <w:p>
            <w:pPr>
              <w:spacing w:after="0" w:line="252" w:lineRule="auto"/>
            </w:pPr>
            <w:r>
              <w:rPr>
                <w:sz w:val="19"/>
              </w:rPr>
              <w:t>As guest</w:t>
            </w:r>
          </w:p>
        </w:tc>
      </w:tr>
      <w:tr>
        <w:trPr>
          <w:cantSplit/>
        </w:trPr>
        <w:tc>
          <w:tcPr>
            <w:tcW w:type="dxa" w:w="931"/>
          </w:tcPr>
          <w:p>
            <w:pPr>
              <w:spacing w:after="0" w:line="252" w:lineRule="auto"/>
            </w:pPr>
            <w:r>
              <w:rPr>
                <w:sz w:val="19"/>
              </w:rPr>
              <w:t>Clinical record</w:t>
            </w:r>
          </w:p>
        </w:tc>
        <w:tc>
          <w:tcPr>
            <w:tcW w:type="dxa" w:w="3103"/>
          </w:tcPr>
          <w:p>
            <w:pPr>
              <w:spacing w:after="0" w:line="252" w:lineRule="auto"/>
            </w:pPr>
            <w:r>
              <w:rPr>
                <w:sz w:val="19"/>
              </w:rPr>
              <w:t>Risk assessments, casework (SBAR) notes, CPN assessments, DIALOG scores, care plans, urgent episodes, MDT queue</w:t>
            </w:r>
          </w:p>
        </w:tc>
        <w:tc>
          <w:tcPr>
            <w:tcW w:type="dxa" w:w="2275"/>
          </w:tcPr>
          <w:p>
            <w:pPr>
              <w:spacing w:after="0" w:line="252" w:lineRule="auto"/>
            </w:pPr>
            <w:r>
              <w:rPr>
                <w:sz w:val="19"/>
              </w:rPr>
              <w:t>Special category (health)</w:t>
            </w:r>
          </w:p>
        </w:tc>
        <w:tc>
          <w:tcPr>
            <w:tcW w:type="dxa" w:w="3103"/>
          </w:tcPr>
          <w:p>
            <w:pPr>
              <w:spacing w:after="0" w:line="252" w:lineRule="auto"/>
            </w:pPr>
            <w:r>
              <w:rPr>
                <w:sz w:val="19"/>
              </w:rPr>
              <w:t>As guest (pseudonymised on anonymisation)</w:t>
            </w:r>
          </w:p>
        </w:tc>
      </w:tr>
      <w:tr>
        <w:trPr>
          <w:cantSplit/>
        </w:trPr>
        <w:tc>
          <w:tcPr>
            <w:tcW w:type="dxa" w:w="931"/>
            <w:shd w:val="clear" w:color="auto" w:fill="FAF6F7"/>
          </w:tcPr>
          <w:p>
            <w:pPr>
              <w:spacing w:after="0" w:line="252" w:lineRule="auto"/>
            </w:pPr>
            <w:r>
              <w:rPr>
                <w:sz w:val="19"/>
              </w:rPr>
              <w:t>Documents</w:t>
            </w:r>
          </w:p>
        </w:tc>
        <w:tc>
          <w:tcPr>
            <w:tcW w:type="dxa" w:w="3103"/>
            <w:shd w:val="clear" w:color="auto" w:fill="FAF6F7"/>
          </w:tcPr>
          <w:p>
            <w:pPr>
              <w:spacing w:after="0" w:line="252" w:lineRule="auto"/>
            </w:pPr>
            <w:r>
              <w:rPr>
                <w:sz w:val="19"/>
              </w:rPr>
              <w:t>Uploaded files and versions, incl. casework-note attachments</w:t>
            </w:r>
          </w:p>
        </w:tc>
        <w:tc>
          <w:tcPr>
            <w:tcW w:type="dxa" w:w="2275"/>
            <w:shd w:val="clear" w:color="auto" w:fill="FAF6F7"/>
          </w:tcPr>
          <w:p>
            <w:pPr>
              <w:spacing w:after="0" w:line="252" w:lineRule="auto"/>
            </w:pPr>
            <w:r>
              <w:rPr>
                <w:sz w:val="19"/>
              </w:rPr>
              <w:t>Personal / special category</w:t>
            </w:r>
          </w:p>
        </w:tc>
        <w:tc>
          <w:tcPr>
            <w:tcW w:type="dxa" w:w="3103"/>
            <w:shd w:val="clear" w:color="auto" w:fill="FAF6F7"/>
          </w:tcPr>
          <w:p>
            <w:pPr>
              <w:spacing w:after="0" w:line="252" w:lineRule="auto"/>
            </w:pPr>
            <w:r>
              <w:rPr>
                <w:rFonts w:ascii="Consolas" w:hAnsi="Consolas"/>
                <w:color w:val="5A1227"/>
                <w:sz w:val="17"/>
              </w:rPr>
              <w:t>documents.retentionYears</w:t>
            </w:r>
            <w:r>
              <w:rPr>
                <w:sz w:val="19"/>
              </w:rPr>
              <w:t xml:space="preserve"> (7 y default), purge blocked before</w:t>
            </w:r>
          </w:p>
        </w:tc>
      </w:tr>
      <w:tr>
        <w:trPr>
          <w:cantSplit/>
        </w:trPr>
        <w:tc>
          <w:tcPr>
            <w:tcW w:type="dxa" w:w="931"/>
          </w:tcPr>
          <w:p>
            <w:pPr>
              <w:spacing w:after="0" w:line="252" w:lineRule="auto"/>
            </w:pPr>
            <w:r>
              <w:rPr>
                <w:sz w:val="19"/>
              </w:rPr>
              <w:t>Audit events</w:t>
            </w:r>
          </w:p>
        </w:tc>
        <w:tc>
          <w:tcPr>
            <w:tcW w:type="dxa" w:w="3103"/>
          </w:tcPr>
          <w:p>
            <w:pPr>
              <w:spacing w:after="0" w:line="252" w:lineRule="auto"/>
            </w:pPr>
            <w:r>
              <w:rPr>
                <w:sz w:val="19"/>
              </w:rPr>
              <w:t>Staff id, action, entity, field names changed, timestamps</w:t>
            </w:r>
          </w:p>
        </w:tc>
        <w:tc>
          <w:tcPr>
            <w:tcW w:type="dxa" w:w="2275"/>
          </w:tcPr>
          <w:p>
            <w:pPr>
              <w:spacing w:after="0" w:line="252" w:lineRule="auto"/>
            </w:pPr>
            <w:r>
              <w:rPr>
                <w:sz w:val="19"/>
              </w:rPr>
              <w:t>Personal (staff)</w:t>
            </w:r>
          </w:p>
        </w:tc>
        <w:tc>
          <w:tcPr>
            <w:tcW w:type="dxa" w:w="3103"/>
          </w:tcPr>
          <w:p>
            <w:pPr>
              <w:spacing w:after="0" w:line="252" w:lineRule="auto"/>
            </w:pPr>
            <w:r>
              <w:rPr>
                <w:sz w:val="19"/>
              </w:rPr>
              <w:t>Kept for the life of the record it protects</w:t>
            </w:r>
          </w:p>
        </w:tc>
      </w:tr>
      <w:tr>
        <w:trPr>
          <w:cantSplit/>
        </w:trPr>
        <w:tc>
          <w:tcPr>
            <w:tcW w:type="dxa" w:w="931"/>
            <w:shd w:val="clear" w:color="auto" w:fill="FAF6F7"/>
          </w:tcPr>
          <w:p>
            <w:pPr>
              <w:spacing w:after="0" w:line="252" w:lineRule="auto"/>
            </w:pPr>
            <w:r>
              <w:rPr>
                <w:sz w:val="19"/>
              </w:rPr>
              <w:t>Staff accounts</w:t>
            </w:r>
          </w:p>
        </w:tc>
        <w:tc>
          <w:tcPr>
            <w:tcW w:type="dxa" w:w="3103"/>
            <w:shd w:val="clear" w:color="auto" w:fill="FAF6F7"/>
          </w:tcPr>
          <w:p>
            <w:pPr>
              <w:spacing w:after="0" w:line="252" w:lineRule="auto"/>
            </w:pPr>
            <w:r>
              <w:rPr>
                <w:sz w:val="19"/>
              </w:rPr>
              <w:t>Email, display name, roles, password hash, lockout state</w:t>
            </w:r>
          </w:p>
        </w:tc>
        <w:tc>
          <w:tcPr>
            <w:tcW w:type="dxa" w:w="2275"/>
            <w:shd w:val="clear" w:color="auto" w:fill="FAF6F7"/>
          </w:tcPr>
          <w:p>
            <w:pPr>
              <w:spacing w:after="0" w:line="252" w:lineRule="auto"/>
            </w:pPr>
            <w:r>
              <w:rPr>
                <w:sz w:val="19"/>
              </w:rPr>
              <w:t>Personal (staff)</w:t>
            </w:r>
          </w:p>
        </w:tc>
        <w:tc>
          <w:tcPr>
            <w:tcW w:type="dxa" w:w="3103"/>
            <w:shd w:val="clear" w:color="auto" w:fill="FAF6F7"/>
          </w:tcPr>
          <w:p>
            <w:pPr>
              <w:spacing w:after="0" w:line="252" w:lineRule="auto"/>
            </w:pPr>
            <w:r>
              <w:rPr>
                <w:sz w:val="19"/>
              </w:rPr>
              <w:t>Deactivated, never deleted</w:t>
            </w:r>
          </w:p>
        </w:tc>
      </w:tr>
    </w:tbl>
    <w:p>
      <w:pPr>
        <w:spacing w:after="40"/>
      </w:pPr>
    </w:p>
    <w:p>
      <w:pPr>
        <w:pStyle w:val="Heading2"/>
        <w:pBdr>
          <w:bottom w:val="single" w:sz="6" w:space="4" w:color="E8D5DB"/>
        </w:pBdr>
      </w:pPr>
      <w:r>
        <w:rPr/>
        <w:t>5. Processors and international transfers — Articles 28 and 44–49</w:t>
      </w:r>
    </w:p>
    <w:p>
      <w:pPr>
        <w:pStyle w:val="ListBullet"/>
      </w:pPr>
      <w:r>
        <w:rPr>
          <w:b/>
        </w:rPr>
        <w:t>Hosting</w:t>
      </w:r>
      <w:r>
        <w:rPr/>
        <w:t xml:space="preserve"> (</w:t>
      </w:r>
      <w:r>
        <w:rPr>
          <w:rFonts w:ascii="Consolas" w:hAnsi="Consolas"/>
          <w:color w:val="5A1227"/>
          <w:sz w:val="19"/>
        </w:rPr>
        <w:t>emhip.brainshub.co.uk</w:t>
      </w:r>
      <w:r>
        <w:rPr/>
        <w:t xml:space="preserve">, host </w:t>
      </w:r>
      <w:r>
        <w:rPr>
          <w:rFonts w:ascii="Consolas" w:hAnsi="Consolas"/>
          <w:color w:val="5A1227"/>
          <w:sz w:val="19"/>
        </w:rPr>
        <w:t>/opt/emhip</w:t>
      </w:r>
      <w:r>
        <w:rPr/>
        <w:t>): needs a written data-processing agreement and confirmation of UK/EU data residency.</w:t>
      </w:r>
    </w:p>
    <w:p>
      <w:pPr>
        <w:pStyle w:val="ListBullet"/>
      </w:pPr>
      <w:r>
        <w:rPr>
          <w:b/>
        </w:rPr>
        <w:t>Email</w:t>
      </w:r>
      <w:r>
        <w:rPr/>
        <w:t xml:space="preserve"> (SMTP / Amazon SES / Mailgun — Mailgun offers an EU endpoint in Settings): processor agreement per provider actually enabled.</w:t>
      </w:r>
    </w:p>
    <w:p>
      <w:pPr>
        <w:pStyle w:val="ListBullet"/>
      </w:pPr>
      <w:r>
        <w:rPr>
          <w:b/>
        </w:rPr>
        <w:t>Object storage</w:t>
      </w:r>
      <w:r>
        <w:rPr/>
        <w:t xml:space="preserve"> (S3 / S3-compatible / Azure / GCS, if enabled): processor agreement and region choice.</w:t>
      </w:r>
    </w:p>
    <w:p>
      <w:pPr>
        <w:pStyle w:val="ListBullet"/>
      </w:pPr>
      <w:r>
        <w:rPr>
          <w:b/>
        </w:rPr>
        <w:t>Google Fonts</w:t>
      </w:r>
      <w:r>
        <w:rPr/>
        <w:t xml:space="preserve">: the SPA loads Plus Jakarta Sans, Wix Madefor Display, Inter and Manrope from </w:t>
      </w:r>
      <w:r>
        <w:rPr>
          <w:rFonts w:ascii="Consolas" w:hAnsi="Consolas"/>
          <w:color w:val="5A1227"/>
          <w:sz w:val="19"/>
        </w:rPr>
        <w:t>fonts.googleapis.com</w:t>
      </w:r>
      <w:r>
        <w:rPr/>
        <w:t xml:space="preserve">, which sends each staff member's IP address to Google on page load. Either self-host the four families (drop the </w:t>
      </w:r>
      <w:r>
        <w:rPr>
          <w:rFonts w:ascii="Consolas" w:hAnsi="Consolas"/>
          <w:color w:val="5A1227"/>
          <w:sz w:val="19"/>
        </w:rPr>
        <w:t>@import</w:t>
      </w:r>
      <w:r>
        <w:rPr/>
        <w:t xml:space="preserve"> in </w:t>
      </w:r>
      <w:r>
        <w:rPr>
          <w:rFonts w:ascii="Consolas" w:hAnsi="Consolas"/>
          <w:color w:val="5A1227"/>
          <w:sz w:val="19"/>
        </w:rPr>
        <w:t>client/src/styles.scss</w:t>
      </w:r>
      <w:r>
        <w:rPr/>
        <w:t xml:space="preserve">, ship the </w:t>
      </w:r>
      <w:r>
        <w:rPr>
          <w:rFonts w:ascii="Consolas" w:hAnsi="Consolas"/>
          <w:color w:val="5A1227"/>
          <w:sz w:val="19"/>
        </w:rPr>
        <w:t>.woff2</w:t>
      </w:r>
      <w:r>
        <w:rPr/>
        <w:t xml:space="preserve"> files, tighten the CSP) or name Google in the staff privacy notice.</w:t>
      </w:r>
    </w:p>
    <w:p>
      <w:pPr>
        <w:pStyle w:val="Heading2"/>
        <w:pBdr>
          <w:bottom w:val="single" w:sz="6" w:space="4" w:color="E8D5DB"/>
        </w:pBdr>
      </w:pPr>
      <w:r>
        <w:rPr/>
        <w:t>6. Remaining actions for the organisation</w:t>
      </w:r>
    </w:p>
    <w:p>
      <w:pPr>
        <w:tabs>
          <w:tab w:pos="425" w:val="left"/>
        </w:tabs>
        <w:spacing w:after="60"/>
        <w:ind w:left="425" w:hanging="340"/>
      </w:pPr>
      <w:r>
        <w:rPr>
          <w:b/>
          <w:color w:val="8D1B3D"/>
        </w:rPr>
        <w:t>1.</w:t>
        <w:tab/>
      </w:r>
      <w:r>
        <w:rPr>
          <w:b/>
        </w:rPr>
        <w:t>DPIA</w:t>
      </w:r>
      <w:r>
        <w:rPr/>
        <w:t xml:space="preserve"> (Art. 35) — required: health data of vulnerable people at scale. This register supplies the technical inputs.</w:t>
      </w:r>
    </w:p>
    <w:p>
      <w:pPr>
        <w:tabs>
          <w:tab w:pos="425" w:val="left"/>
        </w:tabs>
        <w:spacing w:after="60"/>
        <w:ind w:left="425" w:hanging="340"/>
      </w:pPr>
      <w:r>
        <w:rPr>
          <w:b/>
          <w:color w:val="8D1B3D"/>
        </w:rPr>
        <w:t>2.</w:t>
        <w:tab/>
      </w:r>
      <w:r>
        <w:rPr>
          <w:b/>
        </w:rPr>
        <w:t>Privacy notices</w:t>
      </w:r>
      <w:r>
        <w:rPr/>
        <w:t xml:space="preserve"> for guests (given at registration, referenced by the consent checkbox) and for staff (audit logging of their activity, Google Fonts).</w:t>
      </w:r>
    </w:p>
    <w:p>
      <w:pPr>
        <w:tabs>
          <w:tab w:pos="425" w:val="left"/>
        </w:tabs>
        <w:spacing w:after="60"/>
        <w:ind w:left="425" w:hanging="340"/>
      </w:pPr>
      <w:r>
        <w:rPr>
          <w:b/>
          <w:color w:val="8D1B3D"/>
        </w:rPr>
        <w:t>3.</w:t>
        <w:tab/>
      </w:r>
      <w:r>
        <w:rPr>
          <w:b/>
        </w:rPr>
        <w:t>ROPA</w:t>
      </w:r>
      <w:r>
        <w:rPr/>
        <w:t xml:space="preserve"> (Art. 30) using section 4; name the Art. 6 and Art. 9 bases per data set.</w:t>
      </w:r>
    </w:p>
    <w:p>
      <w:pPr>
        <w:tabs>
          <w:tab w:pos="425" w:val="left"/>
        </w:tabs>
        <w:spacing w:after="60"/>
        <w:ind w:left="425" w:hanging="340"/>
      </w:pPr>
      <w:r>
        <w:rPr>
          <w:b/>
          <w:color w:val="8D1B3D"/>
        </w:rPr>
        <w:t>4.</w:t>
        <w:tab/>
      </w:r>
      <w:r>
        <w:rPr>
          <w:b/>
        </w:rPr>
        <w:t>DPO</w:t>
      </w:r>
      <w:r>
        <w:rPr/>
        <w:t xml:space="preserve"> appointment (Art. 37 — likely required) and a </w:t>
      </w:r>
      <w:r>
        <w:rPr>
          <w:b/>
        </w:rPr>
        <w:t>breach procedure</w:t>
      </w:r>
      <w:r>
        <w:rPr/>
        <w:t xml:space="preserve"> meeting the 72-hour notification duty (Art. 33); the audit log and export history support the investigation.</w:t>
      </w:r>
    </w:p>
    <w:p>
      <w:pPr>
        <w:tabs>
          <w:tab w:pos="425" w:val="left"/>
        </w:tabs>
        <w:spacing w:after="60"/>
        <w:ind w:left="425" w:hanging="340"/>
      </w:pPr>
      <w:r>
        <w:rPr>
          <w:b/>
          <w:color w:val="8D1B3D"/>
        </w:rPr>
        <w:t>5.</w:t>
        <w:tab/>
      </w:r>
      <w:r>
        <w:rPr>
          <w:b/>
        </w:rPr>
        <w:t>Processor agreements</w:t>
      </w:r>
      <w:r>
        <w:rPr/>
        <w:t xml:space="preserve"> (section 5) and a decision on self-hosting fonts.</w:t>
      </w:r>
    </w:p>
    <w:p>
      <w:pPr>
        <w:tabs>
          <w:tab w:pos="425" w:val="left"/>
        </w:tabs>
        <w:spacing w:after="60"/>
        <w:ind w:left="425" w:hanging="340"/>
      </w:pPr>
      <w:r>
        <w:rPr>
          <w:b/>
          <w:color w:val="8D1B3D"/>
        </w:rPr>
        <w:t>6.</w:t>
        <w:tab/>
      </w:r>
      <w:r>
        <w:rPr>
          <w:b/>
        </w:rPr>
        <w:t>Platform encryption</w:t>
      </w:r>
      <w:r>
        <w:rPr/>
        <w:t xml:space="preserve">: TDE / encrypted volumes, encrypted and tested backups, replace </w:t>
      </w:r>
      <w:r>
        <w:rPr>
          <w:rFonts w:ascii="Consolas" w:hAnsi="Consolas"/>
          <w:color w:val="5A1227"/>
          <w:sz w:val="19"/>
        </w:rPr>
        <w:t>TrustServerCertificate=True</w:t>
      </w:r>
      <w:r>
        <w:rPr/>
        <w:t xml:space="preserve"> with a trusted certificate in production, rotate the placeholder </w:t>
      </w:r>
      <w:r>
        <w:rPr>
          <w:rFonts w:ascii="Consolas" w:hAnsi="Consolas"/>
          <w:color w:val="5A1227"/>
          <w:sz w:val="19"/>
        </w:rPr>
        <w:t>JWT_KEY</w:t>
      </w:r>
      <w:r>
        <w:rPr/>
        <w:t xml:space="preserve"> and </w:t>
      </w:r>
      <w:r>
        <w:rPr>
          <w:rFonts w:ascii="Consolas" w:hAnsi="Consolas"/>
          <w:color w:val="5A1227"/>
          <w:sz w:val="19"/>
        </w:rPr>
        <w:t>INTERNAL_SHARED_SECRET</w:t>
      </w:r>
      <w:r>
        <w:rPr/>
        <w:t>.</w:t>
      </w:r>
    </w:p>
    <w:p>
      <w:pPr>
        <w:tabs>
          <w:tab w:pos="425" w:val="left"/>
        </w:tabs>
        <w:spacing w:after="60"/>
        <w:ind w:left="425" w:hanging="340"/>
      </w:pPr>
      <w:r>
        <w:rPr>
          <w:b/>
          <w:color w:val="8D1B3D"/>
        </w:rPr>
        <w:t>7.</w:t>
        <w:tab/>
      </w:r>
      <w:r>
        <w:rPr>
          <w:b/>
        </w:rPr>
        <w:t>Access governance</w:t>
      </w:r>
      <w:r>
        <w:rPr/>
        <w:t>: quarterly review of role permissions (the role editor shows every claim), joiner/leaver process (deactivate accounts), MFA on the roadmap.</w:t>
      </w:r>
    </w:p>
    <w:p>
      <w:pPr>
        <w:tabs>
          <w:tab w:pos="425" w:val="left"/>
        </w:tabs>
        <w:spacing w:after="60"/>
        <w:ind w:left="425" w:hanging="340"/>
      </w:pPr>
      <w:r>
        <w:rPr>
          <w:b/>
          <w:color w:val="8D1B3D"/>
        </w:rPr>
        <w:t>8.</w:t>
        <w:tab/>
      </w:r>
      <w:r>
        <w:rPr>
          <w:b/>
        </w:rPr>
        <w:t>Retention operation</w:t>
      </w:r>
      <w:r>
        <w:rPr/>
        <w:t>: review the "due for retention review" count on the Data Quality report at least annually and anonymise closed records.</w:t>
      </w:r>
    </w:p>
    <w:p>
      <w:pPr>
        <w:tabs>
          <w:tab w:pos="425" w:val="left"/>
        </w:tabs>
        <w:spacing w:after="60"/>
        <w:ind w:left="425" w:hanging="340"/>
      </w:pPr>
      <w:r>
        <w:rPr>
          <w:b/>
          <w:color w:val="8D1B3D"/>
        </w:rPr>
        <w:t>9.</w:t>
        <w:tab/>
      </w:r>
      <w:r>
        <w:rPr>
          <w:b/>
        </w:rPr>
        <w:t>Staff training</w:t>
      </w:r>
      <w:r>
        <w:rPr/>
        <w:t xml:space="preserve"> on the SBAR/consent workflow and on handling subject-access and erasure requests.</w:t>
      </w:r>
    </w:p>
    <w:p>
      <w:pPr>
        <w:pStyle w:val="Heading2"/>
        <w:pBdr>
          <w:bottom w:val="single" w:sz="6" w:space="4" w:color="E8D5DB"/>
        </w:pBdr>
      </w:pPr>
      <w:r>
        <w:rPr/>
        <w:t>7. What the 2026-09-09 release added</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1780"/>
            <w:shd w:val="clear" w:color="auto" w:fill="8D1B3D"/>
          </w:tcPr>
          <w:p>
            <w:pPr>
              <w:spacing w:after="0" w:line="252" w:lineRule="auto"/>
            </w:pPr>
            <w:r>
              <w:rPr>
                <w:b/>
                <w:color w:val="FFFFFF"/>
                <w:sz w:val="19"/>
              </w:rPr>
              <w:t>Area</w:t>
            </w:r>
          </w:p>
        </w:tc>
        <w:tc>
          <w:tcPr>
            <w:tcW w:type="dxa" w:w="7631"/>
            <w:shd w:val="clear" w:color="auto" w:fill="8D1B3D"/>
          </w:tcPr>
          <w:p>
            <w:pPr>
              <w:spacing w:after="0" w:line="252" w:lineRule="auto"/>
            </w:pPr>
            <w:r>
              <w:rPr>
                <w:b/>
                <w:color w:val="FFFFFF"/>
                <w:sz w:val="19"/>
              </w:rPr>
              <w:t>Change</w:t>
            </w:r>
          </w:p>
        </w:tc>
      </w:tr>
      <w:tr>
        <w:trPr>
          <w:cantSplit/>
        </w:trPr>
        <w:tc>
          <w:tcPr>
            <w:tcW w:type="dxa" w:w="1780"/>
          </w:tcPr>
          <w:p>
            <w:pPr>
              <w:spacing w:after="0" w:line="252" w:lineRule="auto"/>
            </w:pPr>
            <w:r>
              <w:rPr>
                <w:sz w:val="19"/>
              </w:rPr>
              <w:t>Access logging</w:t>
            </w:r>
          </w:p>
        </w:tc>
        <w:tc>
          <w:tcPr>
            <w:tcW w:type="dxa" w:w="7631"/>
          </w:tcPr>
          <w:p>
            <w:pPr>
              <w:spacing w:after="0" w:line="252" w:lineRule="auto"/>
            </w:pPr>
            <w:r>
              <w:rPr>
                <w:sz w:val="19"/>
              </w:rPr>
              <w:t xml:space="preserve">Reads under </w:t>
            </w:r>
            <w:r>
              <w:rPr>
                <w:rFonts w:ascii="Consolas" w:hAnsi="Consolas"/>
                <w:color w:val="5A1227"/>
                <w:sz w:val="17"/>
              </w:rPr>
              <w:t>/urgent-cases/{guestId}</w:t>
            </w:r>
            <w:r>
              <w:rPr>
                <w:sz w:val="19"/>
              </w:rPr>
              <w:t xml:space="preserve"> and </w:t>
            </w:r>
            <w:r>
              <w:rPr>
                <w:rFonts w:ascii="Consolas" w:hAnsi="Consolas"/>
                <w:color w:val="5A1227"/>
                <w:sz w:val="17"/>
              </w:rPr>
              <w:t>/urgent-cases/episodes/{id}</w:t>
            </w:r>
            <w:r>
              <w:rPr>
                <w:sz w:val="19"/>
              </w:rPr>
              <w:t>, document downloads and exports are now logged; updates record the changed field names.</w:t>
            </w:r>
          </w:p>
        </w:tc>
      </w:tr>
      <w:tr>
        <w:trPr>
          <w:cantSplit/>
        </w:trPr>
        <w:tc>
          <w:tcPr>
            <w:tcW w:type="dxa" w:w="1780"/>
            <w:shd w:val="clear" w:color="auto" w:fill="FAF6F7"/>
          </w:tcPr>
          <w:p>
            <w:pPr>
              <w:spacing w:after="0" w:line="252" w:lineRule="auto"/>
            </w:pPr>
            <w:r>
              <w:rPr>
                <w:sz w:val="19"/>
              </w:rPr>
              <w:t>Rights</w:t>
            </w:r>
          </w:p>
        </w:tc>
        <w:tc>
          <w:tcPr>
            <w:tcW w:type="dxa" w:w="7631"/>
            <w:shd w:val="clear" w:color="auto" w:fill="FAF6F7"/>
          </w:tcPr>
          <w:p>
            <w:pPr>
              <w:spacing w:after="0" w:line="252" w:lineRule="auto"/>
            </w:pPr>
            <w:r>
              <w:rPr>
                <w:sz w:val="19"/>
              </w:rPr>
              <w:t>Subject-access export endpoint and UI (</w:t>
            </w:r>
            <w:r>
              <w:rPr>
                <w:rFonts w:ascii="Consolas" w:hAnsi="Consolas"/>
                <w:color w:val="5A1227"/>
                <w:sz w:val="17"/>
              </w:rPr>
              <w:t>guests.export</w:t>
            </w:r>
            <w:r>
              <w:rPr>
                <w:sz w:val="19"/>
              </w:rPr>
              <w:t>); anonymisation endpoint and UI with typed confirmation (</w:t>
            </w:r>
            <w:r>
              <w:rPr>
                <w:rFonts w:ascii="Consolas" w:hAnsi="Consolas"/>
                <w:color w:val="5A1227"/>
                <w:sz w:val="17"/>
              </w:rPr>
              <w:t>guests.erase</w:t>
            </w:r>
            <w:r>
              <w:rPr>
                <w:sz w:val="19"/>
              </w:rPr>
              <w:t>); per-guest Access Log tab (</w:t>
            </w:r>
            <w:r>
              <w:rPr>
                <w:rFonts w:ascii="Consolas" w:hAnsi="Consolas"/>
                <w:color w:val="5A1227"/>
                <w:sz w:val="17"/>
              </w:rPr>
              <w:t>guests.audit.view</w:t>
            </w:r>
            <w:r>
              <w:rPr>
                <w:sz w:val="19"/>
              </w:rPr>
              <w:t>). Hub Managers get the first two claims; anonymisation is Admin-only until granted.</w:t>
            </w:r>
          </w:p>
        </w:tc>
      </w:tr>
      <w:tr>
        <w:trPr>
          <w:cantSplit/>
        </w:trPr>
        <w:tc>
          <w:tcPr>
            <w:tcW w:type="dxa" w:w="1780"/>
          </w:tcPr>
          <w:p>
            <w:pPr>
              <w:spacing w:after="0" w:line="252" w:lineRule="auto"/>
            </w:pPr>
            <w:r>
              <w:rPr>
                <w:sz w:val="19"/>
              </w:rPr>
              <w:t>Security</w:t>
            </w:r>
          </w:p>
        </w:tc>
        <w:tc>
          <w:tcPr>
            <w:tcW w:type="dxa" w:w="7631"/>
          </w:tcPr>
          <w:p>
            <w:pPr>
              <w:spacing w:after="0" w:line="252" w:lineRule="auto"/>
            </w:pPr>
            <w:r>
              <w:rPr>
                <w:sz w:val="19"/>
              </w:rPr>
              <w:t xml:space="preserve">Security-headers middleware, HSTS, CSP in nginx, Identity lockout, per-IP rate limiting on auth endpoints, constant-time internal secret check, idle sign-out with warning, token restricted to the API origin, </w:t>
            </w:r>
            <w:r>
              <w:rPr>
                <w:rFonts w:ascii="Consolas" w:hAnsi="Consolas"/>
                <w:color w:val="5A1227"/>
                <w:sz w:val="17"/>
              </w:rPr>
              <w:t>&lt;title&gt;</w:t>
            </w:r>
            <w:r>
              <w:rPr>
                <w:sz w:val="19"/>
              </w:rPr>
              <w:t xml:space="preserve"> fixed.</w:t>
            </w:r>
          </w:p>
        </w:tc>
      </w:tr>
      <w:tr>
        <w:trPr>
          <w:cantSplit/>
        </w:trPr>
        <w:tc>
          <w:tcPr>
            <w:tcW w:type="dxa" w:w="1780"/>
            <w:shd w:val="clear" w:color="auto" w:fill="FAF6F7"/>
          </w:tcPr>
          <w:p>
            <w:pPr>
              <w:spacing w:after="0" w:line="252" w:lineRule="auto"/>
            </w:pPr>
            <w:r>
              <w:rPr>
                <w:sz w:val="19"/>
              </w:rPr>
              <w:t>Retention</w:t>
            </w:r>
          </w:p>
        </w:tc>
        <w:tc>
          <w:tcPr>
            <w:tcW w:type="dxa" w:w="7631"/>
            <w:shd w:val="clear" w:color="auto" w:fill="FAF6F7"/>
          </w:tcPr>
          <w:p>
            <w:pPr>
              <w:spacing w:after="0" w:line="252" w:lineRule="auto"/>
            </w:pPr>
            <w:r>
              <w:rPr>
                <w:rFonts w:ascii="Consolas" w:hAnsi="Consolas"/>
                <w:color w:val="5A1227"/>
                <w:sz w:val="17"/>
              </w:rPr>
              <w:t>compliance.recordRetentionYears</w:t>
            </w:r>
            <w:r>
              <w:rPr>
                <w:sz w:val="19"/>
              </w:rPr>
              <w:t xml:space="preserve"> setting and the "due for retention review" issue on the Data Quality report.</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 UK GDPR compliance register</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 UK GDPR compliance register</dc:title>
  <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