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drawing>
          <wp:inline xmlns:a="http://schemas.openxmlformats.org/drawingml/2006/main" xmlns:pic="http://schemas.openxmlformats.org/drawingml/2006/picture">
            <wp:extent cx="1512000" cy="1324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324800"/>
                    </a:xfrm>
                    <a:prstGeom prst="rect"/>
                  </pic:spPr>
                </pic:pic>
              </a:graphicData>
            </a:graphic>
          </wp:inline>
        </w:drawing>
      </w:r>
    </w:p>
    <w:p>
      <w:pPr>
        <w:spacing w:before="360"/>
      </w:pPr>
      <w:r>
        <w:rPr>
          <w:color w:val="6E6E6E"/>
          <w:sz w:val="22"/>
        </w:rPr>
        <w:t>EMHIP — Ethnicity &amp; Mental Health Improvement Project</w:t>
      </w:r>
    </w:p>
    <w:p>
      <w:pPr>
        <w:pStyle w:val="Heading1"/>
        <w:pBdr>
          <w:bottom w:val="single" w:sz="12" w:space="4" w:color="8D1B3D"/>
        </w:pBdr>
      </w:pPr>
      <w:r>
        <w:t>EMHIP Release Notes: 8 October 2026</w:t>
      </w:r>
    </w:p>
    <w:p>
      <w:pPr>
        <w:spacing w:after="40"/>
      </w:pPr>
      <w:r>
        <w:rPr>
          <w:color w:val="6E6E6E"/>
          <w:sz w:val="22"/>
        </w:rPr>
        <w:t>Version 1.0</w:t>
      </w:r>
    </w:p>
    <w:p>
      <w:pPr>
        <w:spacing w:after="40"/>
      </w:pPr>
      <w:r>
        <w:rPr>
          <w:color w:val="6E6E6E"/>
          <w:sz w:val="22"/>
        </w:rPr>
        <w:t>8 October 2026</w:t>
      </w:r>
    </w:p>
    <w:p>
      <w:pPr>
        <w:spacing w:after="40"/>
      </w:pPr>
      <w:r>
        <w:rPr>
          <w:color w:val="6E6E6E"/>
          <w:sz w:val="22"/>
        </w:rPr>
        <w:t>For: the customer project team, testers, Hub Managers and administrators</w:t>
      </w:r>
    </w:p>
    <w:p>
      <w:r>
        <w:br w:type="page"/>
      </w:r>
    </w:p>
    <w:p>
      <w:pPr>
        <w:pStyle w:val="Heading2"/>
      </w:pPr>
      <w:r>
        <w:t>Contents</w:t>
      </w:r>
    </w:p>
    <w:p>
      <w:pPr>
        <w:spacing w:after="40"/>
        <w:ind w:left="113"/>
      </w:pPr>
      <w:r>
        <w:rPr>
          <w:sz w:val="21"/>
        </w:rPr>
        <w:t>1.  At a glance</w:t>
      </w:r>
    </w:p>
    <w:p>
      <w:pPr>
        <w:spacing w:after="40"/>
        <w:ind w:left="113"/>
      </w:pPr>
      <w:r>
        <w:rPr>
          <w:sz w:val="21"/>
        </w:rPr>
        <w:t>2.  Changes from the feedback</w:t>
      </w:r>
    </w:p>
    <w:p>
      <w:pPr>
        <w:spacing w:after="40"/>
        <w:ind w:left="113"/>
      </w:pPr>
      <w:r>
        <w:rPr>
          <w:sz w:val="21"/>
        </w:rPr>
        <w:t>3.  For administrators</w:t>
      </w:r>
    </w:p>
    <w:p>
      <w:pPr>
        <w:spacing w:after="40"/>
        <w:ind w:left="113"/>
      </w:pPr>
      <w:r>
        <w:rPr>
          <w:sz w:val="21"/>
        </w:rPr>
        <w:t>4.  Known limits</w:t>
      </w:r>
    </w:p>
    <w:p>
      <w:r>
        <w:br w:type="page"/>
      </w:r>
    </w:p>
    <w:p>
      <w:r>
        <w:rPr/>
        <w:t>This release answers the customer's round 3 feedback of 8 October 2026. It adds a "How did you hear about us?" question to registration, lets one activity or hospitality contact be logged for a whole group, asks for the action taken when an urgent case is resolved, adds an Urgent Case History tab to the guest record, shows the contact type instead of the contact method on the guest record, and makes every figure on the Contact History screen open the contacts behind it. One database migration runs automatically when the release is deployed. There are no new settings or permissions.</w:t>
      </w:r>
    </w:p>
    <w:p>
      <w:pPr>
        <w:pStyle w:val="Heading2"/>
        <w:pBdr>
          <w:bottom w:val="single" w:sz="6" w:space="4" w:color="E8D5DB"/>
        </w:pBdr>
      </w:pPr>
      <w:r>
        <w:rPr/>
        <w:t>At a glance</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525"/>
            <w:shd w:val="clear" w:color="auto" w:fill="8D1B3D"/>
          </w:tcPr>
          <w:p>
            <w:pPr>
              <w:spacing w:after="0" w:line="252" w:lineRule="auto"/>
            </w:pPr>
            <w:r>
              <w:rPr>
                <w:b/>
                <w:color w:val="FFFFFF"/>
                <w:sz w:val="19"/>
              </w:rPr>
              <w:t>Area</w:t>
            </w:r>
          </w:p>
        </w:tc>
        <w:tc>
          <w:tcPr>
            <w:tcW w:type="dxa" w:w="6886"/>
            <w:shd w:val="clear" w:color="auto" w:fill="8D1B3D"/>
          </w:tcPr>
          <w:p>
            <w:pPr>
              <w:spacing w:after="0" w:line="252" w:lineRule="auto"/>
            </w:pPr>
            <w:r>
              <w:rPr>
                <w:b/>
                <w:color w:val="FFFFFF"/>
                <w:sz w:val="19"/>
              </w:rPr>
              <w:t>Change</w:t>
            </w:r>
          </w:p>
        </w:tc>
      </w:tr>
      <w:tr>
        <w:trPr>
          <w:cantSplit/>
        </w:trPr>
        <w:tc>
          <w:tcPr>
            <w:tcW w:type="dxa" w:w="2525"/>
          </w:tcPr>
          <w:p>
            <w:pPr>
              <w:spacing w:after="0" w:line="252" w:lineRule="auto"/>
            </w:pPr>
            <w:r>
              <w:rPr>
                <w:sz w:val="19"/>
              </w:rPr>
              <w:t>Registration</w:t>
            </w:r>
          </w:p>
        </w:tc>
        <w:tc>
          <w:tcPr>
            <w:tcW w:type="dxa" w:w="6886"/>
          </w:tcPr>
          <w:p>
            <w:pPr>
              <w:spacing w:after="0" w:line="252" w:lineRule="auto"/>
            </w:pPr>
            <w:r>
              <w:rPr>
                <w:sz w:val="19"/>
              </w:rPr>
              <w:t>"How did you hear about us?" tickboxes on the first page, with a box for Other</w:t>
            </w:r>
          </w:p>
        </w:tc>
      </w:tr>
      <w:tr>
        <w:trPr>
          <w:cantSplit/>
        </w:trPr>
        <w:tc>
          <w:tcPr>
            <w:tcW w:type="dxa" w:w="2525"/>
            <w:shd w:val="clear" w:color="auto" w:fill="FAF6F7"/>
          </w:tcPr>
          <w:p>
            <w:pPr>
              <w:spacing w:after="0" w:line="252" w:lineRule="auto"/>
            </w:pPr>
            <w:r>
              <w:rPr>
                <w:sz w:val="19"/>
              </w:rPr>
              <w:t>Contact logging</w:t>
            </w:r>
          </w:p>
        </w:tc>
        <w:tc>
          <w:tcPr>
            <w:tcW w:type="dxa" w:w="6886"/>
            <w:shd w:val="clear" w:color="auto" w:fill="FAF6F7"/>
          </w:tcPr>
          <w:p>
            <w:pPr>
              <w:spacing w:after="0" w:line="252" w:lineRule="auto"/>
            </w:pPr>
            <w:r>
              <w:rPr>
                <w:b/>
                <w:sz w:val="19"/>
              </w:rPr>
              <w:t>Group Contact</w:t>
            </w:r>
            <w:r>
              <w:rPr>
                <w:sz w:val="19"/>
              </w:rPr>
              <w:t xml:space="preserve"> logs one Activity or Hospitality contact for up to 60 guests at once</w:t>
            </w:r>
          </w:p>
        </w:tc>
      </w:tr>
      <w:tr>
        <w:trPr>
          <w:cantSplit/>
        </w:trPr>
        <w:tc>
          <w:tcPr>
            <w:tcW w:type="dxa" w:w="2525"/>
          </w:tcPr>
          <w:p>
            <w:pPr>
              <w:spacing w:after="0" w:line="252" w:lineRule="auto"/>
            </w:pPr>
            <w:r>
              <w:rPr>
                <w:sz w:val="19"/>
              </w:rPr>
              <w:t>Urgent cases</w:t>
            </w:r>
          </w:p>
        </w:tc>
        <w:tc>
          <w:tcPr>
            <w:tcW w:type="dxa" w:w="6886"/>
          </w:tcPr>
          <w:p>
            <w:pPr>
              <w:spacing w:after="0" w:line="252" w:lineRule="auto"/>
            </w:pPr>
            <w:r>
              <w:rPr>
                <w:b/>
                <w:sz w:val="19"/>
              </w:rPr>
              <w:t>Mark as resolved</w:t>
            </w:r>
            <w:r>
              <w:rPr>
                <w:sz w:val="19"/>
              </w:rPr>
              <w:t xml:space="preserve"> asks for the action taken; a new </w:t>
            </w:r>
            <w:r>
              <w:rPr>
                <w:b/>
                <w:sz w:val="19"/>
              </w:rPr>
              <w:t>Urgent Case History</w:t>
            </w:r>
            <w:r>
              <w:rPr>
                <w:sz w:val="19"/>
              </w:rPr>
              <w:t xml:space="preserve"> tab on the guest record</w:t>
            </w:r>
          </w:p>
        </w:tc>
      </w:tr>
      <w:tr>
        <w:trPr>
          <w:cantSplit/>
        </w:trPr>
        <w:tc>
          <w:tcPr>
            <w:tcW w:type="dxa" w:w="2525"/>
            <w:shd w:val="clear" w:color="auto" w:fill="FAF6F7"/>
          </w:tcPr>
          <w:p>
            <w:pPr>
              <w:spacing w:after="0" w:line="252" w:lineRule="auto"/>
            </w:pPr>
            <w:r>
              <w:rPr>
                <w:sz w:val="19"/>
              </w:rPr>
              <w:t>Guest record</w:t>
            </w:r>
          </w:p>
        </w:tc>
        <w:tc>
          <w:tcPr>
            <w:tcW w:type="dxa" w:w="6886"/>
            <w:shd w:val="clear" w:color="auto" w:fill="FAF6F7"/>
          </w:tcPr>
          <w:p>
            <w:pPr>
              <w:spacing w:after="0" w:line="252" w:lineRule="auto"/>
            </w:pPr>
            <w:r>
              <w:rPr>
                <w:sz w:val="19"/>
              </w:rPr>
              <w:t>Contact History and the Overview's recent activity lead with the contact type</w:t>
            </w:r>
          </w:p>
        </w:tc>
      </w:tr>
      <w:tr>
        <w:trPr>
          <w:cantSplit/>
        </w:trPr>
        <w:tc>
          <w:tcPr>
            <w:tcW w:type="dxa" w:w="2525"/>
          </w:tcPr>
          <w:p>
            <w:pPr>
              <w:spacing w:after="0" w:line="252" w:lineRule="auto"/>
            </w:pPr>
            <w:r>
              <w:rPr>
                <w:sz w:val="19"/>
              </w:rPr>
              <w:t>Contact History screen</w:t>
            </w:r>
          </w:p>
        </w:tc>
        <w:tc>
          <w:tcPr>
            <w:tcW w:type="dxa" w:w="6886"/>
          </w:tcPr>
          <w:p>
            <w:pPr>
              <w:spacing w:after="0" w:line="252" w:lineRule="auto"/>
            </w:pPr>
            <w:r>
              <w:rPr>
                <w:sz w:val="19"/>
              </w:rPr>
              <w:t>Every tile and CPN figure opens its list of contacts; the CPN section has its own time filter; My caseload includes a CPN's own guests</w:t>
            </w:r>
          </w:p>
        </w:tc>
      </w:tr>
    </w:tbl>
    <w:p>
      <w:pPr>
        <w:spacing w:after="40"/>
      </w:pPr>
    </w:p>
    <w:p>
      <w:pPr>
        <w:pStyle w:val="Heading2"/>
        <w:pBdr>
          <w:bottom w:val="single" w:sz="6" w:space="4" w:color="E8D5DB"/>
        </w:pBdr>
      </w:pPr>
      <w:r>
        <w:rPr/>
        <w:t>Changes from the feedback</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3137"/>
            <w:shd w:val="clear" w:color="auto" w:fill="8D1B3D"/>
          </w:tcPr>
          <w:p>
            <w:pPr>
              <w:spacing w:after="0" w:line="252" w:lineRule="auto"/>
            </w:pPr>
            <w:r>
              <w:rPr>
                <w:b/>
                <w:color w:val="FFFFFF"/>
                <w:sz w:val="19"/>
              </w:rPr>
              <w:t>Feedback</w:t>
            </w:r>
          </w:p>
        </w:tc>
        <w:tc>
          <w:tcPr>
            <w:tcW w:type="dxa" w:w="3137"/>
            <w:shd w:val="clear" w:color="auto" w:fill="8D1B3D"/>
          </w:tcPr>
          <w:p>
            <w:pPr>
              <w:spacing w:after="0" w:line="252" w:lineRule="auto"/>
            </w:pPr>
            <w:r>
              <w:rPr>
                <w:b/>
                <w:color w:val="FFFFFF"/>
                <w:sz w:val="19"/>
              </w:rPr>
              <w:t>What changed</w:t>
            </w:r>
          </w:p>
        </w:tc>
        <w:tc>
          <w:tcPr>
            <w:tcW w:type="dxa" w:w="3137"/>
            <w:shd w:val="clear" w:color="auto" w:fill="8D1B3D"/>
          </w:tcPr>
          <w:p>
            <w:pPr>
              <w:spacing w:after="0" w:line="252" w:lineRule="auto"/>
            </w:pPr>
            <w:r>
              <w:rPr>
                <w:b/>
                <w:color w:val="FFFFFF"/>
                <w:sz w:val="19"/>
              </w:rPr>
              <w:t>How to retest</w:t>
            </w:r>
          </w:p>
        </w:tc>
      </w:tr>
      <w:tr>
        <w:trPr>
          <w:cantSplit/>
        </w:trPr>
        <w:tc>
          <w:tcPr>
            <w:tcW w:type="dxa" w:w="3137"/>
          </w:tcPr>
          <w:p>
            <w:pPr>
              <w:spacing w:after="0" w:line="252" w:lineRule="auto"/>
            </w:pPr>
            <w:r>
              <w:rPr>
                <w:sz w:val="19"/>
              </w:rPr>
              <w:t>Add a tickbox on the first page of registration: how did you hear about us? NHS, other statutory services, social media, outreach, and other with a text box</w:t>
            </w:r>
          </w:p>
        </w:tc>
        <w:tc>
          <w:tcPr>
            <w:tcW w:type="dxa" w:w="3137"/>
          </w:tcPr>
          <w:p>
            <w:pPr>
              <w:spacing w:after="0" w:line="252" w:lineRule="auto"/>
            </w:pPr>
            <w:r>
              <w:rPr>
                <w:sz w:val="19"/>
              </w:rPr>
              <w:t xml:space="preserve">Under </w:t>
            </w:r>
            <w:r>
              <w:rPr>
                <w:b/>
                <w:sz w:val="19"/>
              </w:rPr>
              <w:t>Referral information</w:t>
            </w:r>
            <w:r>
              <w:rPr>
                <w:sz w:val="19"/>
              </w:rPr>
              <w:t xml:space="preserve"> on the first page, </w:t>
            </w:r>
            <w:r>
              <w:rPr>
                <w:b/>
                <w:sz w:val="19"/>
              </w:rPr>
              <w:t>How did you hear about us?</w:t>
            </w:r>
            <w:r>
              <w:rPr>
                <w:sz w:val="19"/>
              </w:rPr>
              <w:t xml:space="preserve"> offers NHS, Other statutory services, Social media, Outreach and Other. More than one can be ticked. Ticking Other shows </w:t>
            </w:r>
            <w:r>
              <w:rPr>
                <w:b/>
                <w:sz w:val="19"/>
              </w:rPr>
              <w:t>Please specify</w:t>
            </w:r>
            <w:r>
              <w:rPr>
                <w:sz w:val="19"/>
              </w:rPr>
              <w:t xml:space="preserve">, which is then required. The question itself is optional. The answer shows on the Review step, the guest's Overview and Demographics tabs, a new </w:t>
            </w:r>
            <w:r>
              <w:rPr>
                <w:b/>
                <w:sz w:val="19"/>
              </w:rPr>
              <w:t>How guests heard about us</w:t>
            </w:r>
            <w:r>
              <w:rPr>
                <w:sz w:val="19"/>
              </w:rPr>
              <w:t xml:space="preserve"> card on the Reports Overview tab, the </w:t>
            </w:r>
            <w:r>
              <w:rPr>
                <w:b/>
                <w:sz w:val="19"/>
              </w:rPr>
              <w:t>Referral sources</w:t>
            </w:r>
            <w:r>
              <w:rPr>
                <w:sz w:val="19"/>
              </w:rPr>
              <w:t xml:space="preserve"> sheet of the Excel export and a new column in the CSV export. It cannot be changed after registration, in the same way as the referral source. Anonymising a guest clears the Other text but keeps the ticks for the reports</w:t>
            </w:r>
          </w:p>
        </w:tc>
        <w:tc>
          <w:tcPr>
            <w:tcW w:type="dxa" w:w="3137"/>
          </w:tcPr>
          <w:p>
            <w:pPr>
              <w:spacing w:after="0" w:line="252" w:lineRule="auto"/>
            </w:pPr>
            <w:r>
              <w:rPr>
                <w:sz w:val="19"/>
              </w:rPr>
              <w:t>Register a guest with NHS and Other ticked: without the Other text the form will not continue. Check the guest's Overview, Reports and both exports</w:t>
            </w:r>
          </w:p>
        </w:tc>
      </w:tr>
      <w:tr>
        <w:trPr>
          <w:cantSplit/>
        </w:trPr>
        <w:tc>
          <w:tcPr>
            <w:tcW w:type="dxa" w:w="3137"/>
            <w:shd w:val="clear" w:color="auto" w:fill="FAF6F7"/>
          </w:tcPr>
          <w:p>
            <w:pPr>
              <w:spacing w:after="0" w:line="252" w:lineRule="auto"/>
            </w:pPr>
            <w:r>
              <w:rPr>
                <w:sz w:val="19"/>
              </w:rPr>
              <w:t>An activity can have 10 guests; the CMHW should not have to open 10 profiles to log it. Allow several guests to be selected for one activity or hospitality contact</w:t>
            </w:r>
          </w:p>
        </w:tc>
        <w:tc>
          <w:tcPr>
            <w:tcW w:type="dxa" w:w="3137"/>
            <w:shd w:val="clear" w:color="auto" w:fill="FAF6F7"/>
          </w:tcPr>
          <w:p>
            <w:pPr>
              <w:spacing w:after="0" w:line="252" w:lineRule="auto"/>
            </w:pPr>
            <w:r>
              <w:rPr>
                <w:b/>
                <w:sz w:val="19"/>
              </w:rPr>
              <w:t>Group Contact</w:t>
            </w:r>
            <w:r>
              <w:rPr>
                <w:sz w:val="19"/>
              </w:rPr>
              <w:t xml:space="preserve">, beside Add Contact on a guest's record (that guest is already on the list), and </w:t>
            </w:r>
            <w:r>
              <w:rPr>
                <w:b/>
                <w:sz w:val="19"/>
              </w:rPr>
              <w:t>Log group contact</w:t>
            </w:r>
            <w:r>
              <w:rPr>
                <w:sz w:val="19"/>
              </w:rPr>
              <w:t xml:space="preserve"> on the Contact History screen. Choose Activity or Hospitality, then add guests by name or G-number. Activity asks for the activity or the occasion and the date, and has a </w:t>
            </w:r>
            <w:r>
              <w:rPr>
                <w:b/>
                <w:sz w:val="19"/>
              </w:rPr>
              <w:t>High risk</w:t>
            </w:r>
            <w:r>
              <w:rPr>
                <w:sz w:val="19"/>
              </w:rPr>
              <w:t xml:space="preserve"> tick beside each guest: a group has no single risk check, so every guest is recorded as "no risk detected" unless ticked. Hospitality has optional notes only, and its date is today, as on Add Contact. The notes are saved on every guest's record. Each guest gets an ordinary Activity or Hospitality contact, exactly as if it had been logged on their own record, so it shows in their Contact History and counts on the Contact History screen and in reports</w:t>
            </w:r>
          </w:p>
        </w:tc>
        <w:tc>
          <w:tcPr>
            <w:tcW w:type="dxa" w:w="3137"/>
            <w:shd w:val="clear" w:color="auto" w:fill="FAF6F7"/>
          </w:tcPr>
          <w:p>
            <w:pPr>
              <w:spacing w:after="0" w:line="252" w:lineRule="auto"/>
            </w:pPr>
            <w:r>
              <w:rPr>
                <w:sz w:val="19"/>
              </w:rPr>
              <w:t>Log an activity for three guests, one marked High risk. Open each guest's Contact History, then check the Activity tile on the Contact History screen</w:t>
            </w:r>
          </w:p>
        </w:tc>
      </w:tr>
      <w:tr>
        <w:trPr>
          <w:cantSplit/>
        </w:trPr>
        <w:tc>
          <w:tcPr>
            <w:tcW w:type="dxa" w:w="3137"/>
          </w:tcPr>
          <w:p>
            <w:pPr>
              <w:spacing w:after="0" w:line="252" w:lineRule="auto"/>
            </w:pPr>
            <w:r>
              <w:rPr>
                <w:sz w:val="19"/>
              </w:rPr>
              <w:t>Mark as resolved needs a notes field so staff can record what was done to resolve the case</w:t>
            </w:r>
          </w:p>
        </w:tc>
        <w:tc>
          <w:tcPr>
            <w:tcW w:type="dxa" w:w="3137"/>
          </w:tcPr>
          <w:p>
            <w:pPr>
              <w:spacing w:after="0" w:line="252" w:lineRule="auto"/>
            </w:pPr>
            <w:r>
              <w:rPr>
                <w:sz w:val="19"/>
              </w:rPr>
              <w:t xml:space="preserve">The </w:t>
            </w:r>
            <w:r>
              <w:rPr>
                <w:b/>
                <w:sz w:val="19"/>
              </w:rPr>
              <w:t>Mark as resolved</w:t>
            </w:r>
            <w:r>
              <w:rPr>
                <w:sz w:val="19"/>
              </w:rPr>
              <w:t xml:space="preserve"> dialog on the Urgent Case Record has </w:t>
            </w:r>
            <w:r>
              <w:rPr>
                <w:b/>
                <w:sz w:val="19"/>
              </w:rPr>
              <w:t>Action taken to resolve</w:t>
            </w:r>
            <w:r>
              <w:rPr>
                <w:sz w:val="19"/>
              </w:rPr>
              <w:t xml:space="preserve">, which is required: the button stays greyed out until it is filled in, and the server refuses a resolution without it. The text shows under Resolution on the record, in </w:t>
            </w:r>
            <w:r>
              <w:rPr>
                <w:b/>
                <w:sz w:val="19"/>
              </w:rPr>
              <w:t>Export Record</w:t>
            </w:r>
            <w:r>
              <w:rPr>
                <w:sz w:val="19"/>
              </w:rPr>
              <w:t xml:space="preserve"> and on the Urgent Case History tab. A click outside the dialog no longer closes it once something has been typed</w:t>
            </w:r>
          </w:p>
        </w:tc>
        <w:tc>
          <w:tcPr>
            <w:tcW w:type="dxa" w:w="3137"/>
          </w:tcPr>
          <w:p>
            <w:pPr>
              <w:spacing w:after="0" w:line="252" w:lineRule="auto"/>
            </w:pPr>
            <w:r>
              <w:rPr>
                <w:sz w:val="19"/>
              </w:rPr>
              <w:t>Open an urgent case, choose Mark as resolved, and try to confirm with the field empty</w:t>
            </w:r>
          </w:p>
        </w:tc>
      </w:tr>
      <w:tr>
        <w:trPr>
          <w:cantSplit/>
        </w:trPr>
        <w:tc>
          <w:tcPr>
            <w:tcW w:type="dxa" w:w="3137"/>
            <w:shd w:val="clear" w:color="auto" w:fill="FAF6F7"/>
          </w:tcPr>
          <w:p>
            <w:pPr>
              <w:spacing w:after="0" w:line="252" w:lineRule="auto"/>
            </w:pPr>
            <w:r>
              <w:rPr>
                <w:sz w:val="19"/>
              </w:rPr>
              <w:t>CMHWs need to see a guest's past and current urgent cases from the guest profile</w:t>
            </w:r>
          </w:p>
        </w:tc>
        <w:tc>
          <w:tcPr>
            <w:tcW w:type="dxa" w:w="3137"/>
            <w:shd w:val="clear" w:color="auto" w:fill="FAF6F7"/>
          </w:tcPr>
          <w:p>
            <w:pPr>
              <w:spacing w:after="0" w:line="252" w:lineRule="auto"/>
            </w:pPr>
            <w:r>
              <w:rPr>
                <w:sz w:val="19"/>
              </w:rPr>
              <w:t xml:space="preserve">A new </w:t>
            </w:r>
            <w:r>
              <w:rPr>
                <w:b/>
                <w:sz w:val="19"/>
              </w:rPr>
              <w:t>Urgent Case History</w:t>
            </w:r>
            <w:r>
              <w:rPr>
                <w:sz w:val="19"/>
              </w:rPr>
              <w:t xml:space="preserve"> tab on the guest record, for every role that can see urgent cases (CMHW, CPN, Hub Manager and Admin by default). It lists every urgent case for the guest, newest first: open or resolved, when and by whom it was raised and resolved, the risks, whether the CMHT was notified, whether it was resolved within the 72 hours, inpatient admission and the action taken. Clicking a case opens its full Urgent Case Record, where an open case can be worked as from the Urgent Cases screen. Viewing the tab is written to the guest's Access Log</w:t>
            </w:r>
          </w:p>
        </w:tc>
        <w:tc>
          <w:tcPr>
            <w:tcW w:type="dxa" w:w="3137"/>
            <w:shd w:val="clear" w:color="auto" w:fill="FAF6F7"/>
          </w:tcPr>
          <w:p>
            <w:pPr>
              <w:spacing w:after="0" w:line="252" w:lineRule="auto"/>
            </w:pPr>
            <w:r>
              <w:rPr>
                <w:sz w:val="19"/>
              </w:rPr>
              <w:t>Sign in as a CMHW, open a guest who has had an urgent case, and open the Urgent Case History tab</w:t>
            </w:r>
          </w:p>
        </w:tc>
      </w:tr>
      <w:tr>
        <w:trPr>
          <w:cantSplit/>
        </w:trPr>
        <w:tc>
          <w:tcPr>
            <w:tcW w:type="dxa" w:w="3137"/>
          </w:tcPr>
          <w:p>
            <w:pPr>
              <w:spacing w:after="0" w:line="252" w:lineRule="auto"/>
            </w:pPr>
            <w:r>
              <w:rPr>
                <w:sz w:val="19"/>
              </w:rPr>
              <w:t>The guest's Contact History tab still shows the contact method (Phone Call, Email) instead of the contact type (Casework, Activity, Hospitality, AFA)</w:t>
            </w:r>
          </w:p>
        </w:tc>
        <w:tc>
          <w:tcPr>
            <w:tcW w:type="dxa" w:w="3137"/>
          </w:tcPr>
          <w:p>
            <w:pPr>
              <w:spacing w:after="0" w:line="252" w:lineRule="auto"/>
            </w:pPr>
            <w:r>
              <w:rPr>
                <w:sz w:val="19"/>
              </w:rPr>
              <w:t xml:space="preserve">Each contact now leads with a coloured badge and the type: Casework, Activity, Hospitality, AFA or CPN contact. The detail follows (the activity, the AFA advice given, or the CPN session number), then the date and who recorded it. The method is shown last, in small text, and not at all for Activity and Hospitality. The Overview tab's </w:t>
            </w:r>
            <w:r>
              <w:rPr>
                <w:b/>
                <w:sz w:val="19"/>
              </w:rPr>
              <w:t>Recent activity history</w:t>
            </w:r>
            <w:r>
              <w:rPr>
                <w:sz w:val="19"/>
              </w:rPr>
              <w:t xml:space="preserve"> showed only the method, and now shows the type. CPN initial assessments now read as CPN contacts. Contacts with no type recorded, which are mostly the generated test data plus contacts recorded from </w:t>
            </w:r>
            <w:r>
              <w:rPr>
                <w:b/>
                <w:sz w:val="19"/>
              </w:rPr>
              <w:t>Scheduled contacts → Record contact</w:t>
            </w:r>
            <w:r>
              <w:rPr>
                <w:sz w:val="19"/>
              </w:rPr>
              <w:t xml:space="preserve">, read "Contact" and say "No contact type recorded"; on that screen the field that was wrongly labelled "Contact type" now reads </w:t>
            </w:r>
            <w:r>
              <w:rPr>
                <w:b/>
                <w:sz w:val="19"/>
              </w:rPr>
              <w:t>Contact method</w:t>
            </w:r>
          </w:p>
        </w:tc>
        <w:tc>
          <w:tcPr>
            <w:tcW w:type="dxa" w:w="3137"/>
          </w:tcPr>
          <w:p>
            <w:pPr>
              <w:spacing w:after="0" w:line="252" w:lineRule="auto"/>
            </w:pPr>
            <w:r>
              <w:rPr>
                <w:sz w:val="19"/>
              </w:rPr>
              <w:t>Log one contact of each type with Add Contact, then check the guest's Overview and Contact History tabs</w:t>
            </w:r>
          </w:p>
        </w:tc>
      </w:tr>
      <w:tr>
        <w:trPr>
          <w:cantSplit/>
        </w:trPr>
        <w:tc>
          <w:tcPr>
            <w:tcW w:type="dxa" w:w="3137"/>
            <w:shd w:val="clear" w:color="auto" w:fill="FAF6F7"/>
          </w:tcPr>
          <w:p>
            <w:pPr>
              <w:spacing w:after="0" w:line="252" w:lineRule="auto"/>
            </w:pPr>
            <w:r>
              <w:rPr>
                <w:sz w:val="19"/>
              </w:rPr>
              <w:t>The Contact History tiles (Total contacts, Casework, Activity, AFA &amp; Hospitality, CPN activity) should open a list of those contacts</w:t>
            </w:r>
          </w:p>
        </w:tc>
        <w:tc>
          <w:tcPr>
            <w:tcW w:type="dxa" w:w="3137"/>
            <w:shd w:val="clear" w:color="auto" w:fill="FAF6F7"/>
          </w:tcPr>
          <w:p>
            <w:pPr>
              <w:spacing w:after="0" w:line="252" w:lineRule="auto"/>
            </w:pPr>
            <w:r>
              <w:rPr>
                <w:sz w:val="19"/>
              </w:rPr>
              <w:t xml:space="preserve">Every tile, and each of the four CPN figures, opens a panel listing the contacts it counts, for the same caseload and dates, with the number at the top matching the tile. Each row shows the date, guest, type, detail and who logged it; clicking a row opens that guest's Contact History. </w:t>
            </w:r>
            <w:r>
              <w:rPr>
                <w:b/>
                <w:sz w:val="19"/>
              </w:rPr>
              <w:t>Guests seen by CPN</w:t>
            </w:r>
            <w:r>
              <w:rPr>
                <w:sz w:val="19"/>
              </w:rPr>
              <w:t xml:space="preserve"> opens every CPN contact with those guests</w:t>
            </w:r>
          </w:p>
        </w:tc>
        <w:tc>
          <w:tcPr>
            <w:tcW w:type="dxa" w:w="3137"/>
            <w:shd w:val="clear" w:color="auto" w:fill="FAF6F7"/>
          </w:tcPr>
          <w:p>
            <w:pPr>
              <w:spacing w:after="0" w:line="252" w:lineRule="auto"/>
            </w:pPr>
            <w:r>
              <w:rPr>
                <w:sz w:val="19"/>
              </w:rPr>
              <w:t>Click each tile and compare the panel's total with the tile</w:t>
            </w:r>
          </w:p>
        </w:tc>
      </w:tr>
      <w:tr>
        <w:trPr>
          <w:cantSplit/>
        </w:trPr>
        <w:tc>
          <w:tcPr>
            <w:tcW w:type="dxa" w:w="3137"/>
          </w:tcPr>
          <w:p>
            <w:pPr>
              <w:spacing w:after="0" w:line="252" w:lineRule="auto"/>
            </w:pPr>
            <w:r>
              <w:rPr>
                <w:sz w:val="19"/>
              </w:rPr>
              <w:t>Add a time filter to the CPN activity section</w:t>
            </w:r>
          </w:p>
        </w:tc>
        <w:tc>
          <w:tcPr>
            <w:tcW w:type="dxa" w:w="3137"/>
          </w:tcPr>
          <w:p>
            <w:pPr>
              <w:spacing w:after="0" w:line="252" w:lineRule="auto"/>
            </w:pPr>
            <w:r>
              <w:rPr>
                <w:sz w:val="19"/>
              </w:rPr>
              <w:t>The CPN section has its own period: All dates, Last 7, 30 or 90 days, This month, or a custom range. It is separate from the period filter of the list below, and its subtitle names the dates shown</w:t>
            </w:r>
          </w:p>
        </w:tc>
        <w:tc>
          <w:tcPr>
            <w:tcW w:type="dxa" w:w="3137"/>
          </w:tcPr>
          <w:p>
            <w:pPr>
              <w:spacing w:after="0" w:line="252" w:lineRule="auto"/>
            </w:pPr>
            <w:r>
              <w:rPr>
                <w:sz w:val="19"/>
              </w:rPr>
              <w:t>Change the CPN period and check the figures and their lists</w:t>
            </w:r>
          </w:p>
        </w:tc>
      </w:tr>
      <w:tr>
        <w:trPr>
          <w:cantSplit/>
        </w:trPr>
        <w:tc>
          <w:tcPr>
            <w:tcW w:type="dxa" w:w="3137"/>
            <w:shd w:val="clear" w:color="auto" w:fill="FAF6F7"/>
          </w:tcPr>
          <w:p>
            <w:pPr>
              <w:spacing w:after="0" w:line="252" w:lineRule="auto"/>
            </w:pPr>
            <w:r>
              <w:rPr>
                <w:sz w:val="19"/>
              </w:rPr>
              <w:t>Will the CPN see this same dashboard view or a different one?</w:t>
            </w:r>
          </w:p>
        </w:tc>
        <w:tc>
          <w:tcPr>
            <w:tcW w:type="dxa" w:w="3137"/>
            <w:shd w:val="clear" w:color="auto" w:fill="FAF6F7"/>
          </w:tcPr>
          <w:p>
            <w:pPr>
              <w:spacing w:after="0" w:line="252" w:lineRule="auto"/>
            </w:pPr>
            <w:r>
              <w:rPr>
                <w:sz w:val="19"/>
              </w:rPr>
              <w:t xml:space="preserve">The same Contact History screen; there is no separate CPN view. Before this release, </w:t>
            </w:r>
            <w:r>
              <w:rPr>
                <w:b/>
                <w:sz w:val="19"/>
              </w:rPr>
              <w:t>My caseload</w:t>
            </w:r>
            <w:r>
              <w:rPr>
                <w:sz w:val="19"/>
              </w:rPr>
              <w:t>, which is on by default for everyone except Hub Managers, matched only guests whose CMHW is the signed-in user. A CPN is allocated through the MDT queue rather than as the CMHW, so a CPN saw empty tiles. My caseload now means guests allocated to you either as their CMHW or as their CPN, through a confirmed CPN referral. For a CMHW nothing changes unless they have been made a guest's CPN</w:t>
            </w:r>
          </w:p>
        </w:tc>
        <w:tc>
          <w:tcPr>
            <w:tcW w:type="dxa" w:w="3137"/>
            <w:shd w:val="clear" w:color="auto" w:fill="FAF6F7"/>
          </w:tcPr>
          <w:p>
            <w:pPr>
              <w:spacing w:after="0" w:line="252" w:lineRule="auto"/>
            </w:pPr>
            <w:r>
              <w:rPr>
                <w:sz w:val="19"/>
              </w:rPr>
              <w:t>Sign in as a CPN with a confirmed referral: My caseload shows that guest</w:t>
            </w:r>
          </w:p>
        </w:tc>
      </w:tr>
    </w:tbl>
    <w:p>
      <w:pPr>
        <w:spacing w:after="40"/>
      </w:pPr>
    </w:p>
    <w:p>
      <w:pPr>
        <w:pStyle w:val="Heading2"/>
        <w:pBdr>
          <w:bottom w:val="single" w:sz="6" w:space="4" w:color="E8D5DB"/>
        </w:pBdr>
      </w:pPr>
      <w:r>
        <w:rPr/>
        <w:t>For administrators</w:t>
      </w:r>
    </w:p>
    <w:p>
      <w:pPr>
        <w:pStyle w:val="ListBullet"/>
      </w:pPr>
      <w:r>
        <w:rPr/>
        <w:t xml:space="preserve">Migration </w:t>
      </w:r>
      <w:r>
        <w:rPr>
          <w:rFonts w:ascii="Consolas" w:hAnsi="Consolas"/>
          <w:color w:val="5A1227"/>
          <w:sz w:val="19"/>
        </w:rPr>
        <w:t>GuestHeardAboutUs</w:t>
      </w:r>
      <w:r>
        <w:rPr/>
        <w:t xml:space="preserve"> adds two columns to Guests. Existing guests read "not recorded". It is applied automatically on deployment.</w:t>
      </w:r>
    </w:p>
    <w:p>
      <w:pPr>
        <w:pStyle w:val="ListBullet"/>
      </w:pPr>
      <w:r>
        <w:rPr/>
        <w:t xml:space="preserve">New endpoints: </w:t>
      </w:r>
      <w:r>
        <w:rPr>
          <w:rFonts w:ascii="Consolas" w:hAnsi="Consolas"/>
          <w:color w:val="5A1227"/>
          <w:sz w:val="19"/>
        </w:rPr>
        <w:t>POST /guests/group-contacts</w:t>
      </w:r>
      <w:r>
        <w:rPr/>
        <w:t xml:space="preserve">, </w:t>
      </w:r>
      <w:r>
        <w:rPr>
          <w:rFonts w:ascii="Consolas" w:hAnsi="Consolas"/>
          <w:color w:val="5A1227"/>
          <w:sz w:val="19"/>
        </w:rPr>
        <w:t>GET /urgent-cases/{guestId}/history</w:t>
      </w:r>
      <w:r>
        <w:rPr/>
        <w:t xml:space="preserve">, </w:t>
      </w:r>
      <w:r>
        <w:rPr>
          <w:rFonts w:ascii="Consolas" w:hAnsi="Consolas"/>
          <w:color w:val="5A1227"/>
          <w:sz w:val="19"/>
        </w:rPr>
        <w:t>GET /contacts/list</w:t>
      </w:r>
      <w:r>
        <w:rPr/>
        <w:t xml:space="preserve"> and </w:t>
      </w:r>
      <w:r>
        <w:rPr>
          <w:rFonts w:ascii="Consolas" w:hAnsi="Consolas"/>
          <w:color w:val="5A1227"/>
          <w:sz w:val="19"/>
        </w:rPr>
        <w:t>GET /reports/heard-about-us</w:t>
      </w:r>
      <w:r>
        <w:rPr/>
        <w:t xml:space="preserve">. The Contact History endpoints accept an optional </w:t>
      </w:r>
      <w:r>
        <w:rPr>
          <w:rFonts w:ascii="Consolas" w:hAnsi="Consolas"/>
          <w:color w:val="5A1227"/>
          <w:sz w:val="19"/>
        </w:rPr>
        <w:t>caseload</w:t>
      </w:r>
      <w:r>
        <w:rPr/>
        <w:t xml:space="preserve"> parameter.</w:t>
      </w:r>
    </w:p>
    <w:p>
      <w:pPr>
        <w:pStyle w:val="ListBullet"/>
      </w:pPr>
      <w:r>
        <w:rPr>
          <w:rFonts w:ascii="Consolas" w:hAnsi="Consolas"/>
          <w:color w:val="5A1227"/>
          <w:sz w:val="19"/>
        </w:rPr>
        <w:t>POST /urgent-cases/episodes/{id}/resolve</w:t>
      </w:r>
      <w:r>
        <w:rPr/>
        <w:t xml:space="preserve"> now requires </w:t>
      </w:r>
      <w:r>
        <w:rPr>
          <w:rFonts w:ascii="Consolas" w:hAnsi="Consolas"/>
          <w:color w:val="5A1227"/>
          <w:sz w:val="19"/>
        </w:rPr>
        <w:t>resolutionNote</w:t>
      </w:r>
      <w:r>
        <w:rPr/>
        <w:t>.</w:t>
      </w:r>
    </w:p>
    <w:p>
      <w:pPr>
        <w:pStyle w:val="Heading2"/>
        <w:pBdr>
          <w:bottom w:val="single" w:sz="6" w:space="4" w:color="E8D5DB"/>
        </w:pBdr>
      </w:pPr>
      <w:r>
        <w:rPr/>
        <w:t>Known limits</w:t>
      </w:r>
    </w:p>
    <w:p>
      <w:pPr>
        <w:pStyle w:val="ListBullet"/>
      </w:pPr>
      <w:r>
        <w:rPr/>
        <w:t>The CPN home dashboard has not been changed: its caseload counts may still be based only on the guest's CMHW. This has not been checked yet.</w:t>
      </w:r>
    </w:p>
    <w:p>
      <w:pPr>
        <w:pStyle w:val="ListBullet"/>
      </w:pPr>
      <w:r>
        <w:rPr/>
        <w:t>Within a CPN's caseload, the main Contact History tiles count all contacts with those guests, including the CMHW's, not only the CPN's own. The CPN activity section counts only CPN contacts.</w:t>
      </w:r>
    </w:p>
    <w:p>
      <w:pPr>
        <w:pStyle w:val="ListBullet"/>
      </w:pPr>
      <w:r>
        <w:rPr/>
        <w:t xml:space="preserve">Contacts recorded from </w:t>
      </w:r>
      <w:r>
        <w:rPr>
          <w:b/>
        </w:rPr>
        <w:t>Scheduled contacts → Record contact</w:t>
      </w:r>
      <w:r>
        <w:rPr/>
        <w:t xml:space="preserve"> still have no contact type. Contacts logged with Add Contact or Group Contact always do.</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color w:val="6E6E6E"/>
        <w:sz w:val="17"/>
      </w:rPr>
      <w:t>EMHIP · EMHIP Release Notes: 8 October 2026</w:t>
    </w:r>
    <w:r>
      <w:rPr>
        <w:color w:val="6E6E6E"/>
        <w:sz w:val="17"/>
      </w:rPr>
      <w:tab/>
      <w:t xml:space="preserve">Page </w:t>
    </w:r>
    <w:r>
      <w:rPr>
        <w:color w:val="6E6E6E"/>
        <w:sz w:val="17"/>
      </w:rPr>
      <w:fldChar w:fldCharType="begin"/>
      <w:instrText xml:space="preserve">PAGE</w:instrText>
      <w:fldChar w:fldCharType="separate"/>
      <w:t>1</w:t>
      <w:fldChar w:fldCharType="end"/>
    </w:r>
    <w:r>
      <w:rPr>
        <w:color w:val="6E6E6E"/>
        <w:sz w:val="17"/>
      </w:rPr>
      <w:t xml:space="preserve"> of </w:t>
    </w:r>
    <w:r>
      <w:rPr>
        <w:color w:val="6E6E6E"/>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i w:val="0"/>
      <w:color w:val="8D1B3D"/>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Calibri" w:hAnsi="Calibri"/>
      <w:b/>
      <w:bCs/>
      <w:i w:val="0"/>
      <w:color w:val="8D1B3D"/>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i w:val="0"/>
      <w:color w:val="8D1B3D"/>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 w:val="0"/>
      <w:iCs/>
      <w:color w:val="5A12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EMHIP Release Notes: 8 October 2026</dc:title>
  <dc:subject>Version 1.0 · 8 October 2026 · For: the customer project team, testers, Hub Managers and administrators</dc:subject>
  <dc:creator>EMHIP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