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drawing>
          <wp:inline xmlns:a="http://schemas.openxmlformats.org/drawingml/2006/main" xmlns:pic="http://schemas.openxmlformats.org/drawingml/2006/picture">
            <wp:extent cx="1512000" cy="1324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324800"/>
                    </a:xfrm>
                    <a:prstGeom prst="rect"/>
                  </pic:spPr>
                </pic:pic>
              </a:graphicData>
            </a:graphic>
          </wp:inline>
        </w:drawing>
      </w:r>
    </w:p>
    <w:p>
      <w:pPr>
        <w:spacing w:before="360"/>
      </w:pPr>
      <w:r>
        <w:rPr>
          <w:color w:val="6E6E6E"/>
          <w:sz w:val="22"/>
        </w:rPr>
        <w:t>EMHIP — Ethnicity &amp; Mental Health Improvement Project</w:t>
      </w:r>
    </w:p>
    <w:p>
      <w:pPr>
        <w:pStyle w:val="Heading1"/>
        <w:pBdr>
          <w:bottom w:val="single" w:sz="12" w:space="4" w:color="8D1B3D"/>
        </w:pBdr>
      </w:pPr>
      <w:r>
        <w:t>EMHIP Handover Overview</w:t>
      </w:r>
    </w:p>
    <w:p>
      <w:pPr>
        <w:spacing w:after="40"/>
      </w:pPr>
      <w:r>
        <w:rPr>
          <w:color w:val="6E6E6E"/>
          <w:sz w:val="22"/>
        </w:rPr>
        <w:t>Version 1.0</w:t>
      </w:r>
    </w:p>
    <w:p>
      <w:pPr>
        <w:spacing w:after="40"/>
      </w:pPr>
      <w:r>
        <w:rPr>
          <w:color w:val="6E6E6E"/>
          <w:sz w:val="22"/>
        </w:rPr>
        <w:t>30 September 2026</w:t>
      </w:r>
    </w:p>
    <w:p>
      <w:pPr>
        <w:spacing w:after="40"/>
      </w:pPr>
      <w:r>
        <w:rPr>
          <w:color w:val="6E6E6E"/>
          <w:sz w:val="22"/>
        </w:rPr>
        <w:t>For: the customer project team and service leads</w:t>
      </w:r>
    </w:p>
    <w:p>
      <w:r>
        <w:br w:type="page"/>
      </w:r>
    </w:p>
    <w:p>
      <w:pPr>
        <w:pStyle w:val="Heading2"/>
      </w:pPr>
      <w:r>
        <w:t>Contents</w:t>
      </w:r>
    </w:p>
    <w:p>
      <w:pPr>
        <w:spacing w:after="40"/>
        <w:ind w:left="113"/>
      </w:pPr>
      <w:r>
        <w:rPr>
          <w:sz w:val="21"/>
        </w:rPr>
        <w:t>1. EMHIP in brief</w:t>
      </w:r>
    </w:p>
    <w:p>
      <w:pPr>
        <w:spacing w:after="40"/>
        <w:ind w:left="113"/>
      </w:pPr>
      <w:r>
        <w:rPr>
          <w:sz w:val="21"/>
        </w:rPr>
        <w:t>2. What is being handed over</w:t>
      </w:r>
    </w:p>
    <w:p>
      <w:pPr>
        <w:spacing w:after="40"/>
        <w:ind w:left="113"/>
      </w:pPr>
      <w:r>
        <w:rPr>
          <w:sz w:val="21"/>
        </w:rPr>
        <w:t>3. Environments and access</w:t>
      </w:r>
    </w:p>
    <w:p>
      <w:pPr>
        <w:spacing w:after="40"/>
        <w:ind w:left="113"/>
      </w:pPr>
      <w:r>
        <w:rPr>
          <w:sz w:val="21"/>
        </w:rPr>
        <w:t>4. State of the system at handover</w:t>
      </w:r>
    </w:p>
    <w:p>
      <w:pPr>
        <w:spacing w:after="40"/>
        <w:ind w:left="113"/>
      </w:pPr>
      <w:r>
        <w:rPr>
          <w:sz w:val="21"/>
        </w:rPr>
        <w:t>5. Timeline</w:t>
      </w:r>
    </w:p>
    <w:p>
      <w:pPr>
        <w:spacing w:after="40"/>
        <w:ind w:left="113"/>
      </w:pPr>
      <w:r>
        <w:rPr>
          <w:sz w:val="21"/>
        </w:rPr>
        <w:t>6. The documentation pack</w:t>
      </w:r>
    </w:p>
    <w:p>
      <w:pPr>
        <w:spacing w:after="40"/>
        <w:ind w:left="113"/>
      </w:pPr>
      <w:r>
        <w:rPr>
          <w:sz w:val="21"/>
        </w:rPr>
        <w:t>7. Handover checklist</w:t>
      </w:r>
    </w:p>
    <w:p>
      <w:pPr>
        <w:spacing w:after="40"/>
        <w:ind w:left="113"/>
      </w:pPr>
      <w:r>
        <w:rPr>
          <w:sz w:val="21"/>
        </w:rPr>
        <w:t>8. Open questions</w:t>
      </w:r>
    </w:p>
    <w:p>
      <w:r>
        <w:br w:type="page"/>
      </w:r>
    </w:p>
    <w:p>
      <w:r>
        <w:rPr/>
        <w:t>This document is the front page of the EMHIP handover pack. It says what EMHIP is, what is being handed over and where each part lives, the state of the system at handover, and what both sides need to do to complete the handover. The other documents in the pack hold the detail and are listed in section 6.</w:t>
      </w:r>
    </w:p>
    <w:p>
      <w:pPr>
        <w:pStyle w:val="Heading2"/>
        <w:pBdr>
          <w:bottom w:val="single" w:sz="6" w:space="4" w:color="E8D5DB"/>
        </w:pBdr>
      </w:pPr>
      <w:r>
        <w:rPr/>
        <w:t>1. EMHIP in brief</w:t>
      </w:r>
    </w:p>
    <w:p>
      <w:r>
        <w:rPr/>
        <w:t>EMHIP (Ethnicity &amp; Mental Health Improvement Project) is a web-based case-management system for community mental-health hubs. Hub staff use it to register the people they support (called guests), record every contact, manage clinical risk, and report on the service's reach and outcomes, with a focus on ethnic-minority communities.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1882"/>
            <w:shd w:val="clear" w:color="auto" w:fill="8D1B3D"/>
          </w:tcPr>
          <w:p>
            <w:pPr>
              <w:spacing w:after="0" w:line="252" w:lineRule="auto"/>
            </w:pPr>
            <w:r>
              <w:rPr>
                <w:b/>
                <w:color w:val="FFFFFF"/>
                <w:sz w:val="19"/>
              </w:rPr>
              <w:t>Module</w:t>
            </w:r>
          </w:p>
        </w:tc>
        <w:tc>
          <w:tcPr>
            <w:tcW w:type="dxa" w:w="7529"/>
            <w:shd w:val="clear" w:color="auto" w:fill="8D1B3D"/>
          </w:tcPr>
          <w:p>
            <w:pPr>
              <w:spacing w:after="0" w:line="252" w:lineRule="auto"/>
            </w:pPr>
            <w:r>
              <w:rPr>
                <w:b/>
                <w:color w:val="FFFFFF"/>
                <w:sz w:val="19"/>
              </w:rPr>
              <w:t>What it does</w:t>
            </w:r>
          </w:p>
        </w:tc>
      </w:tr>
      <w:tr>
        <w:trPr>
          <w:cantSplit/>
        </w:trPr>
        <w:tc>
          <w:tcPr>
            <w:tcW w:type="dxa" w:w="1882"/>
          </w:tcPr>
          <w:p>
            <w:pPr>
              <w:spacing w:after="0" w:line="252" w:lineRule="auto"/>
            </w:pPr>
            <w:r>
              <w:rPr>
                <w:sz w:val="19"/>
              </w:rPr>
              <w:t>Dashboards</w:t>
            </w:r>
          </w:p>
        </w:tc>
        <w:tc>
          <w:tcPr>
            <w:tcW w:type="dxa" w:w="7529"/>
          </w:tcPr>
          <w:p>
            <w:pPr>
              <w:spacing w:after="0" w:line="252" w:lineRule="auto"/>
            </w:pPr>
            <w:r>
              <w:rPr>
                <w:sz w:val="19"/>
              </w:rPr>
              <w:t>A caseload dashboard for CMHWs and CPNs, and a hub-wide dashboard for Hub Managers in which every count opens the guests behind it</w:t>
            </w:r>
          </w:p>
        </w:tc>
      </w:tr>
      <w:tr>
        <w:trPr>
          <w:cantSplit/>
        </w:trPr>
        <w:tc>
          <w:tcPr>
            <w:tcW w:type="dxa" w:w="1882"/>
            <w:shd w:val="clear" w:color="auto" w:fill="FAF6F7"/>
          </w:tcPr>
          <w:p>
            <w:pPr>
              <w:spacing w:after="0" w:line="252" w:lineRule="auto"/>
            </w:pPr>
            <w:r>
              <w:rPr>
                <w:sz w:val="19"/>
              </w:rPr>
              <w:t>Guest register</w:t>
            </w:r>
          </w:p>
        </w:tc>
        <w:tc>
          <w:tcPr>
            <w:tcW w:type="dxa" w:w="7529"/>
            <w:shd w:val="clear" w:color="auto" w:fill="FAF6F7"/>
          </w:tcPr>
          <w:p>
            <w:pPr>
              <w:spacing w:after="0" w:line="252" w:lineRule="auto"/>
            </w:pPr>
            <w:r>
              <w:rPr>
                <w:sz w:val="19"/>
              </w:rPr>
              <w:t>Search and filter guests; register new guests in five steps (demographics, initial conversation, DIALOG baseline, pathway, review)</w:t>
            </w:r>
          </w:p>
        </w:tc>
      </w:tr>
      <w:tr>
        <w:trPr>
          <w:cantSplit/>
        </w:trPr>
        <w:tc>
          <w:tcPr>
            <w:tcW w:type="dxa" w:w="1882"/>
          </w:tcPr>
          <w:p>
            <w:pPr>
              <w:spacing w:after="0" w:line="252" w:lineRule="auto"/>
            </w:pPr>
            <w:r>
              <w:rPr>
                <w:sz w:val="19"/>
              </w:rPr>
              <w:t>Guest record</w:t>
            </w:r>
          </w:p>
        </w:tc>
        <w:tc>
          <w:tcPr>
            <w:tcW w:type="dxa" w:w="7529"/>
          </w:tcPr>
          <w:p>
            <w:pPr>
              <w:spacing w:after="0" w:line="252" w:lineRule="auto"/>
            </w:pPr>
            <w:r>
              <w:rPr>
                <w:sz w:val="19"/>
              </w:rPr>
              <w:t>One record per guest with tabs for demographics, clinical details and risk, DIALOG scores, pathway history, care plan, contacts, CPN record, documents, actions and notes</w:t>
            </w:r>
          </w:p>
        </w:tc>
      </w:tr>
      <w:tr>
        <w:trPr>
          <w:cantSplit/>
        </w:trPr>
        <w:tc>
          <w:tcPr>
            <w:tcW w:type="dxa" w:w="1882"/>
            <w:shd w:val="clear" w:color="auto" w:fill="FAF6F7"/>
          </w:tcPr>
          <w:p>
            <w:pPr>
              <w:spacing w:after="0" w:line="252" w:lineRule="auto"/>
            </w:pPr>
            <w:r>
              <w:rPr>
                <w:sz w:val="19"/>
              </w:rPr>
              <w:t>Contacts</w:t>
            </w:r>
          </w:p>
        </w:tc>
        <w:tc>
          <w:tcPr>
            <w:tcW w:type="dxa" w:w="7529"/>
            <w:shd w:val="clear" w:color="auto" w:fill="FAF6F7"/>
          </w:tcPr>
          <w:p>
            <w:pPr>
              <w:spacing w:after="0" w:line="252" w:lineRule="auto"/>
            </w:pPr>
            <w:r>
              <w:rPr>
                <w:sz w:val="19"/>
              </w:rPr>
              <w:t>The Add Contact form (SBAR casework notes, CPN assessments and sessions, MDT and CPN referrals), Contact History and Scheduled contacts</w:t>
            </w:r>
          </w:p>
        </w:tc>
      </w:tr>
      <w:tr>
        <w:trPr>
          <w:cantSplit/>
        </w:trPr>
        <w:tc>
          <w:tcPr>
            <w:tcW w:type="dxa" w:w="1882"/>
          </w:tcPr>
          <w:p>
            <w:pPr>
              <w:spacing w:after="0" w:line="252" w:lineRule="auto"/>
            </w:pPr>
            <w:r>
              <w:rPr>
                <w:sz w:val="19"/>
              </w:rPr>
              <w:t>Urgent cases</w:t>
            </w:r>
          </w:p>
        </w:tc>
        <w:tc>
          <w:tcPr>
            <w:tcW w:type="dxa" w:w="7529"/>
          </w:tcPr>
          <w:p>
            <w:pPr>
              <w:spacing w:after="0" w:line="252" w:lineRule="auto"/>
            </w:pPr>
            <w:r>
              <w:rPr>
                <w:sz w:val="19"/>
              </w:rPr>
              <w:t>Risk flags open an urgent episode with a 72-hour contact window, live updates, CMHT escalation and a full episode record</w:t>
            </w:r>
          </w:p>
        </w:tc>
      </w:tr>
      <w:tr>
        <w:trPr>
          <w:cantSplit/>
        </w:trPr>
        <w:tc>
          <w:tcPr>
            <w:tcW w:type="dxa" w:w="1882"/>
            <w:shd w:val="clear" w:color="auto" w:fill="FAF6F7"/>
          </w:tcPr>
          <w:p>
            <w:pPr>
              <w:spacing w:after="0" w:line="252" w:lineRule="auto"/>
            </w:pPr>
            <w:r>
              <w:rPr>
                <w:sz w:val="19"/>
              </w:rPr>
              <w:t>MDT queue</w:t>
            </w:r>
          </w:p>
        </w:tc>
        <w:tc>
          <w:tcPr>
            <w:tcW w:type="dxa" w:w="7529"/>
            <w:shd w:val="clear" w:color="auto" w:fill="FAF6F7"/>
          </w:tcPr>
          <w:p>
            <w:pPr>
              <w:spacing w:after="0" w:line="252" w:lineRule="auto"/>
            </w:pPr>
            <w:r>
              <w:rPr>
                <w:sz w:val="19"/>
              </w:rPr>
              <w:t>Hub Managers confirm CPN referrals, decline requests and record MDT discussions</w:t>
            </w:r>
          </w:p>
        </w:tc>
      </w:tr>
      <w:tr>
        <w:trPr>
          <w:cantSplit/>
        </w:trPr>
        <w:tc>
          <w:tcPr>
            <w:tcW w:type="dxa" w:w="1882"/>
          </w:tcPr>
          <w:p>
            <w:pPr>
              <w:spacing w:after="0" w:line="252" w:lineRule="auto"/>
            </w:pPr>
            <w:r>
              <w:rPr>
                <w:sz w:val="19"/>
              </w:rPr>
              <w:t>Reports</w:t>
            </w:r>
          </w:p>
        </w:tc>
        <w:tc>
          <w:tcPr>
            <w:tcW w:type="dxa" w:w="7529"/>
          </w:tcPr>
          <w:p>
            <w:pPr>
              <w:spacing w:after="0" w:line="252" w:lineRule="auto"/>
            </w:pPr>
            <w:r>
              <w:rPr>
                <w:sz w:val="19"/>
              </w:rPr>
              <w:t>Overview, guest report, pathways, caseload, DIALOG outcomes (filterable by demographics), data quality, CPN activity; Excel and CSV exports</w:t>
            </w:r>
          </w:p>
        </w:tc>
      </w:tr>
      <w:tr>
        <w:trPr>
          <w:cantSplit/>
        </w:trPr>
        <w:tc>
          <w:tcPr>
            <w:tcW w:type="dxa" w:w="1882"/>
            <w:shd w:val="clear" w:color="auto" w:fill="FAF6F7"/>
          </w:tcPr>
          <w:p>
            <w:pPr>
              <w:spacing w:after="0" w:line="252" w:lineRule="auto"/>
            </w:pPr>
            <w:r>
              <w:rPr>
                <w:sz w:val="19"/>
              </w:rPr>
              <w:t>Administration</w:t>
            </w:r>
          </w:p>
        </w:tc>
        <w:tc>
          <w:tcPr>
            <w:tcW w:type="dxa" w:w="7529"/>
            <w:shd w:val="clear" w:color="auto" w:fill="FAF6F7"/>
          </w:tcPr>
          <w:p>
            <w:pPr>
              <w:spacing w:after="0" w:line="252" w:lineRule="auto"/>
            </w:pPr>
            <w:r>
              <w:rPr>
                <w:sz w:val="19"/>
              </w:rPr>
              <w:t>Hub workers, roles and permissions, settings, email templates, option lists, custom fields and data import</w:t>
            </w:r>
          </w:p>
        </w:tc>
      </w:tr>
      <w:tr>
        <w:trPr>
          <w:cantSplit/>
        </w:trPr>
        <w:tc>
          <w:tcPr>
            <w:tcW w:type="dxa" w:w="1882"/>
          </w:tcPr>
          <w:p>
            <w:pPr>
              <w:spacing w:after="0" w:line="252" w:lineRule="auto"/>
            </w:pPr>
            <w:r>
              <w:rPr>
                <w:sz w:val="19"/>
              </w:rPr>
              <w:t>Data protection</w:t>
            </w:r>
          </w:p>
        </w:tc>
        <w:tc>
          <w:tcPr>
            <w:tcW w:type="dxa" w:w="7529"/>
          </w:tcPr>
          <w:p>
            <w:pPr>
              <w:spacing w:after="0" w:line="252" w:lineRule="auto"/>
            </w:pPr>
            <w:r>
              <w:rPr>
                <w:sz w:val="19"/>
              </w:rPr>
              <w:t>Access log per guest, subject-access export, anonymisation, retention review, idle sign-out</w:t>
            </w:r>
          </w:p>
        </w:tc>
      </w:tr>
    </w:tbl>
    <w:p>
      <w:pPr>
        <w:spacing w:after="40"/>
      </w:pPr>
    </w:p>
    <w:p>
      <w:pPr>
        <w:pStyle w:val="Heading2"/>
        <w:pBdr>
          <w:bottom w:val="single" w:sz="6" w:space="4" w:color="E8D5DB"/>
        </w:pBdr>
      </w:pPr>
      <w:r>
        <w:rPr/>
        <w:t>2. What is being handed over</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932"/>
            <w:shd w:val="clear" w:color="auto" w:fill="8D1B3D"/>
          </w:tcPr>
          <w:p>
            <w:pPr>
              <w:spacing w:after="0" w:line="252" w:lineRule="auto"/>
            </w:pPr>
            <w:r>
              <w:rPr>
                <w:b/>
                <w:color w:val="FFFFFF"/>
                <w:sz w:val="19"/>
              </w:rPr>
              <w:t>Item</w:t>
            </w:r>
          </w:p>
        </w:tc>
        <w:tc>
          <w:tcPr>
            <w:tcW w:type="dxa" w:w="3739"/>
            <w:shd w:val="clear" w:color="auto" w:fill="8D1B3D"/>
          </w:tcPr>
          <w:p>
            <w:pPr>
              <w:spacing w:after="0" w:line="252" w:lineRule="auto"/>
            </w:pPr>
            <w:r>
              <w:rPr>
                <w:b/>
                <w:color w:val="FFFFFF"/>
                <w:sz w:val="19"/>
              </w:rPr>
              <w:t>Where it is</w:t>
            </w:r>
          </w:p>
        </w:tc>
        <w:tc>
          <w:tcPr>
            <w:tcW w:type="dxa" w:w="3739"/>
            <w:shd w:val="clear" w:color="auto" w:fill="8D1B3D"/>
          </w:tcPr>
          <w:p>
            <w:pPr>
              <w:spacing w:after="0" w:line="252" w:lineRule="auto"/>
            </w:pPr>
            <w:r>
              <w:rPr>
                <w:b/>
                <w:color w:val="FFFFFF"/>
                <w:sz w:val="19"/>
              </w:rPr>
              <w:t>Notes</w:t>
            </w:r>
          </w:p>
        </w:tc>
      </w:tr>
      <w:tr>
        <w:trPr>
          <w:cantSplit/>
        </w:trPr>
        <w:tc>
          <w:tcPr>
            <w:tcW w:type="dxa" w:w="1932"/>
          </w:tcPr>
          <w:p>
            <w:pPr>
              <w:spacing w:after="0" w:line="252" w:lineRule="auto"/>
            </w:pPr>
            <w:r>
              <w:rPr>
                <w:sz w:val="19"/>
              </w:rPr>
              <w:t>Live application</w:t>
            </w:r>
          </w:p>
        </w:tc>
        <w:tc>
          <w:tcPr>
            <w:tcW w:type="dxa" w:w="3739"/>
          </w:tcPr>
          <w:p>
            <w:pPr>
              <w:spacing w:after="0" w:line="252" w:lineRule="auto"/>
            </w:pPr>
            <w:hyperlink r:id="rId11">
              <w:r>
                <w:rPr>
                  <w:color w:val="1F5FA8"/>
                  <w:u w:val="single"/>
                  <w:sz w:val="19"/>
                </w:rPr>
                <w:t xml:space="preserve">emhip.brainshub.co.uk</w:t>
              </w:r>
            </w:hyperlink>
          </w:p>
        </w:tc>
        <w:tc>
          <w:tcPr>
            <w:tcW w:type="dxa" w:w="3739"/>
          </w:tcPr>
          <w:p>
            <w:pPr>
              <w:spacing w:after="0" w:line="252" w:lineRule="auto"/>
            </w:pPr>
            <w:r>
              <w:rPr>
                <w:sz w:val="19"/>
              </w:rPr>
              <w:t>Production since 17 August 2026</w:t>
            </w:r>
          </w:p>
        </w:tc>
      </w:tr>
      <w:tr>
        <w:trPr>
          <w:cantSplit/>
        </w:trPr>
        <w:tc>
          <w:tcPr>
            <w:tcW w:type="dxa" w:w="1932"/>
            <w:shd w:val="clear" w:color="auto" w:fill="FAF6F7"/>
          </w:tcPr>
          <w:p>
            <w:pPr>
              <w:spacing w:after="0" w:line="252" w:lineRule="auto"/>
            </w:pPr>
            <w:r>
              <w:rPr>
                <w:sz w:val="19"/>
              </w:rPr>
              <w:t>Source code</w:t>
            </w:r>
          </w:p>
        </w:tc>
        <w:tc>
          <w:tcPr>
            <w:tcW w:type="dxa" w:w="3739"/>
            <w:shd w:val="clear" w:color="auto" w:fill="FAF6F7"/>
          </w:tcPr>
          <w:p>
            <w:pPr>
              <w:spacing w:after="0" w:line="252" w:lineRule="auto"/>
            </w:pPr>
            <w:r>
              <w:rPr>
                <w:sz w:val="19"/>
              </w:rPr>
              <w:t xml:space="preserve">GitHub repository </w:t>
            </w:r>
            <w:r>
              <w:rPr>
                <w:rFonts w:ascii="Consolas" w:hAnsi="Consolas"/>
                <w:color w:val="5A1227"/>
                <w:sz w:val="17"/>
              </w:rPr>
              <w:t>azuree123/emhip_new</w:t>
            </w:r>
            <w:r>
              <w:rPr>
                <w:sz w:val="19"/>
              </w:rPr>
              <w:t xml:space="preserve">, branch </w:t>
            </w:r>
            <w:r>
              <w:rPr>
                <w:rFonts w:ascii="Consolas" w:hAnsi="Consolas"/>
                <w:color w:val="5A1227"/>
                <w:sz w:val="17"/>
              </w:rPr>
              <w:t>main</w:t>
            </w:r>
          </w:p>
        </w:tc>
        <w:tc>
          <w:tcPr>
            <w:tcW w:type="dxa" w:w="3739"/>
            <w:shd w:val="clear" w:color="auto" w:fill="FAF6F7"/>
          </w:tcPr>
          <w:p>
            <w:pPr>
              <w:spacing w:after="0" w:line="252" w:lineRule="auto"/>
            </w:pPr>
            <w:r>
              <w:rPr>
                <w:sz w:val="19"/>
              </w:rPr>
              <w:t xml:space="preserve">A push to </w:t>
            </w:r>
            <w:r>
              <w:rPr>
                <w:rFonts w:ascii="Consolas" w:hAnsi="Consolas"/>
                <w:color w:val="5A1227"/>
                <w:sz w:val="17"/>
              </w:rPr>
              <w:t>main</w:t>
            </w:r>
            <w:r>
              <w:rPr>
                <w:sz w:val="19"/>
              </w:rPr>
              <w:t xml:space="preserve"> deploys to production within about a minute</w:t>
            </w:r>
          </w:p>
        </w:tc>
      </w:tr>
      <w:tr>
        <w:trPr>
          <w:cantSplit/>
        </w:trPr>
        <w:tc>
          <w:tcPr>
            <w:tcW w:type="dxa" w:w="1932"/>
          </w:tcPr>
          <w:p>
            <w:pPr>
              <w:spacing w:after="0" w:line="252" w:lineRule="auto"/>
            </w:pPr>
            <w:r>
              <w:rPr>
                <w:sz w:val="19"/>
              </w:rPr>
              <w:t>Production server</w:t>
            </w:r>
          </w:p>
        </w:tc>
        <w:tc>
          <w:tcPr>
            <w:tcW w:type="dxa" w:w="3739"/>
          </w:tcPr>
          <w:p>
            <w:pPr>
              <w:spacing w:after="0" w:line="252" w:lineRule="auto"/>
            </w:pPr>
            <w:r>
              <w:rPr>
                <w:sz w:val="19"/>
              </w:rPr>
              <w:t xml:space="preserve">Ubuntu 24.04 host at </w:t>
            </w:r>
            <w:r>
              <w:rPr>
                <w:rFonts w:ascii="Consolas" w:hAnsi="Consolas"/>
                <w:color w:val="5A1227"/>
                <w:sz w:val="17"/>
              </w:rPr>
              <w:t>/opt/emhip</w:t>
            </w:r>
            <w:r>
              <w:rPr>
                <w:sz w:val="19"/>
              </w:rPr>
              <w:t>, run with Docker Compose</w:t>
            </w:r>
          </w:p>
        </w:tc>
        <w:tc>
          <w:tcPr>
            <w:tcW w:type="dxa" w:w="3739"/>
          </w:tcPr>
          <w:p>
            <w:pPr>
              <w:spacing w:after="0" w:line="252" w:lineRule="auto"/>
            </w:pPr>
            <w:r>
              <w:rPr>
                <w:sz w:val="19"/>
              </w:rPr>
              <w:t>See document 06 for access, deployment and backups</w:t>
            </w:r>
          </w:p>
        </w:tc>
      </w:tr>
      <w:tr>
        <w:trPr>
          <w:cantSplit/>
        </w:trPr>
        <w:tc>
          <w:tcPr>
            <w:tcW w:type="dxa" w:w="1932"/>
            <w:shd w:val="clear" w:color="auto" w:fill="FAF6F7"/>
          </w:tcPr>
          <w:p>
            <w:pPr>
              <w:spacing w:after="0" w:line="252" w:lineRule="auto"/>
            </w:pPr>
            <w:r>
              <w:rPr>
                <w:sz w:val="19"/>
              </w:rPr>
              <w:t>Database and backups</w:t>
            </w:r>
          </w:p>
        </w:tc>
        <w:tc>
          <w:tcPr>
            <w:tcW w:type="dxa" w:w="3739"/>
            <w:shd w:val="clear" w:color="auto" w:fill="FAF6F7"/>
          </w:tcPr>
          <w:p>
            <w:pPr>
              <w:spacing w:after="0" w:line="252" w:lineRule="auto"/>
            </w:pPr>
            <w:r>
              <w:rPr>
                <w:sz w:val="19"/>
              </w:rPr>
              <w:t xml:space="preserve">SQL Server in the </w:t>
            </w:r>
            <w:r>
              <w:rPr>
                <w:rFonts w:ascii="Consolas" w:hAnsi="Consolas"/>
                <w:color w:val="5A1227"/>
                <w:sz w:val="17"/>
              </w:rPr>
              <w:t>sqlserver-data</w:t>
            </w:r>
            <w:r>
              <w:rPr>
                <w:sz w:val="19"/>
              </w:rPr>
              <w:t xml:space="preserve"> Docker volume; backups in </w:t>
            </w:r>
            <w:r>
              <w:rPr>
                <w:rFonts w:ascii="Consolas" w:hAnsi="Consolas"/>
                <w:color w:val="5A1227"/>
                <w:sz w:val="17"/>
              </w:rPr>
              <w:t>/opt/emhip-backups</w:t>
            </w:r>
          </w:p>
        </w:tc>
        <w:tc>
          <w:tcPr>
            <w:tcW w:type="dxa" w:w="3739"/>
            <w:shd w:val="clear" w:color="auto" w:fill="FAF6F7"/>
          </w:tcPr>
          <w:p>
            <w:pPr>
              <w:spacing w:after="0" w:line="252" w:lineRule="auto"/>
            </w:pPr>
            <w:r>
              <w:rPr>
                <w:sz w:val="19"/>
              </w:rPr>
              <w:t>Backed up before every deployment and nightly at 03:00; kept for 14 days</w:t>
            </w:r>
          </w:p>
        </w:tc>
      </w:tr>
      <w:tr>
        <w:trPr>
          <w:cantSplit/>
        </w:trPr>
        <w:tc>
          <w:tcPr>
            <w:tcW w:type="dxa" w:w="1932"/>
          </w:tcPr>
          <w:p>
            <w:pPr>
              <w:spacing w:after="0" w:line="252" w:lineRule="auto"/>
            </w:pPr>
            <w:r>
              <w:rPr>
                <w:sz w:val="19"/>
              </w:rPr>
              <w:t>Uploaded documents</w:t>
            </w:r>
          </w:p>
        </w:tc>
        <w:tc>
          <w:tcPr>
            <w:tcW w:type="dxa" w:w="3739"/>
          </w:tcPr>
          <w:p>
            <w:pPr>
              <w:spacing w:after="0" w:line="252" w:lineRule="auto"/>
            </w:pPr>
            <w:r>
              <w:rPr>
                <w:rFonts w:ascii="Consolas" w:hAnsi="Consolas"/>
                <w:color w:val="5A1227"/>
                <w:sz w:val="17"/>
              </w:rPr>
              <w:t>/opt/emhip-documents</w:t>
            </w:r>
            <w:r>
              <w:rPr>
                <w:sz w:val="19"/>
              </w:rPr>
              <w:t xml:space="preserve"> on the server while the storage setting is Local</w:t>
            </w:r>
          </w:p>
        </w:tc>
        <w:tc>
          <w:tcPr>
            <w:tcW w:type="dxa" w:w="3739"/>
          </w:tcPr>
          <w:p>
            <w:pPr>
              <w:spacing w:after="0" w:line="252" w:lineRule="auto"/>
            </w:pPr>
            <w:r>
              <w:rPr>
                <w:sz w:val="19"/>
              </w:rPr>
              <w:t>Included in each backup</w:t>
            </w:r>
          </w:p>
        </w:tc>
      </w:tr>
      <w:tr>
        <w:trPr>
          <w:cantSplit/>
        </w:trPr>
        <w:tc>
          <w:tcPr>
            <w:tcW w:type="dxa" w:w="1932"/>
            <w:shd w:val="clear" w:color="auto" w:fill="FAF6F7"/>
          </w:tcPr>
          <w:p>
            <w:pPr>
              <w:spacing w:after="0" w:line="252" w:lineRule="auto"/>
            </w:pPr>
            <w:r>
              <w:rPr>
                <w:sz w:val="19"/>
              </w:rPr>
              <w:t>Secrets</w:t>
            </w:r>
          </w:p>
        </w:tc>
        <w:tc>
          <w:tcPr>
            <w:tcW w:type="dxa" w:w="3739"/>
            <w:shd w:val="clear" w:color="auto" w:fill="FAF6F7"/>
          </w:tcPr>
          <w:p>
            <w:pPr>
              <w:spacing w:after="0" w:line="252" w:lineRule="auto"/>
            </w:pPr>
            <w:r>
              <w:rPr>
                <w:rFonts w:ascii="Consolas" w:hAnsi="Consolas"/>
                <w:color w:val="5A1227"/>
                <w:sz w:val="17"/>
              </w:rPr>
              <w:t>/opt/emhip/.env</w:t>
            </w:r>
            <w:r>
              <w:rPr>
                <w:sz w:val="19"/>
              </w:rPr>
              <w:t xml:space="preserve"> on the server only</w:t>
            </w:r>
          </w:p>
        </w:tc>
        <w:tc>
          <w:tcPr>
            <w:tcW w:type="dxa" w:w="3739"/>
            <w:shd w:val="clear" w:color="auto" w:fill="FAF6F7"/>
          </w:tcPr>
          <w:p>
            <w:pPr>
              <w:spacing w:after="0" w:line="252" w:lineRule="auto"/>
            </w:pPr>
            <w:r>
              <w:rPr>
                <w:sz w:val="19"/>
              </w:rPr>
              <w:t xml:space="preserve">Never stored in the repository; the variable names are in </w:t>
            </w:r>
            <w:r>
              <w:rPr>
                <w:rFonts w:ascii="Consolas" w:hAnsi="Consolas"/>
                <w:color w:val="5A1227"/>
                <w:sz w:val="17"/>
              </w:rPr>
              <w:t>.env.example</w:t>
            </w:r>
          </w:p>
        </w:tc>
      </w:tr>
      <w:tr>
        <w:trPr>
          <w:cantSplit/>
        </w:trPr>
        <w:tc>
          <w:tcPr>
            <w:tcW w:type="dxa" w:w="1932"/>
          </w:tcPr>
          <w:p>
            <w:pPr>
              <w:spacing w:after="0" w:line="252" w:lineRule="auto"/>
            </w:pPr>
            <w:r>
              <w:rPr>
                <w:sz w:val="19"/>
              </w:rPr>
              <w:t>Documentation pack</w:t>
            </w:r>
          </w:p>
        </w:tc>
        <w:tc>
          <w:tcPr>
            <w:tcW w:type="dxa" w:w="3739"/>
          </w:tcPr>
          <w:p>
            <w:pPr>
              <w:spacing w:after="0" w:line="252" w:lineRule="auto"/>
            </w:pPr>
            <w:r>
              <w:rPr>
                <w:rFonts w:ascii="Consolas" w:hAnsi="Consolas"/>
                <w:color w:val="5A1227"/>
                <w:sz w:val="17"/>
              </w:rPr>
              <w:t>docs/handover</w:t>
            </w:r>
            <w:r>
              <w:rPr>
                <w:sz w:val="19"/>
              </w:rPr>
              <w:t xml:space="preserve"> in the repository (Markdown, Word and PDF)</w:t>
            </w:r>
          </w:p>
        </w:tc>
        <w:tc>
          <w:tcPr>
            <w:tcW w:type="dxa" w:w="3739"/>
          </w:tcPr>
          <w:p>
            <w:pPr>
              <w:spacing w:after="0" w:line="252" w:lineRule="auto"/>
            </w:pPr>
            <w:r>
              <w:rPr>
                <w:sz w:val="19"/>
              </w:rPr>
              <w:t>Listed in section 6</w:t>
            </w:r>
          </w:p>
        </w:tc>
      </w:tr>
      <w:tr>
        <w:trPr>
          <w:cantSplit/>
        </w:trPr>
        <w:tc>
          <w:tcPr>
            <w:tcW w:type="dxa" w:w="1932"/>
            <w:shd w:val="clear" w:color="auto" w:fill="FAF6F7"/>
          </w:tcPr>
          <w:p>
            <w:pPr>
              <w:spacing w:after="0" w:line="252" w:lineRule="auto"/>
            </w:pPr>
            <w:r>
              <w:rPr>
                <w:sz w:val="19"/>
              </w:rPr>
              <w:t>Design and requirements sources</w:t>
            </w:r>
          </w:p>
        </w:tc>
        <w:tc>
          <w:tcPr>
            <w:tcW w:type="dxa" w:w="3739"/>
            <w:shd w:val="clear" w:color="auto" w:fill="FAF6F7"/>
          </w:tcPr>
          <w:p>
            <w:pPr>
              <w:spacing w:after="0" w:line="252" w:lineRule="auto"/>
            </w:pPr>
            <w:r>
              <w:rPr>
                <w:rFonts w:ascii="Consolas" w:hAnsi="Consolas"/>
                <w:color w:val="5A1227"/>
                <w:sz w:val="17"/>
              </w:rPr>
              <w:t>project/</w:t>
            </w:r>
            <w:r>
              <w:rPr>
                <w:sz w:val="19"/>
              </w:rPr>
              <w:t xml:space="preserve"> in the repository</w:t>
            </w:r>
          </w:p>
        </w:tc>
        <w:tc>
          <w:tcPr>
            <w:tcW w:type="dxa" w:w="3739"/>
            <w:shd w:val="clear" w:color="auto" w:fill="FAF6F7"/>
          </w:tcPr>
          <w:p>
            <w:pPr>
              <w:spacing w:after="0" w:line="252" w:lineRule="auto"/>
            </w:pPr>
            <w:r>
              <w:rPr>
                <w:sz w:val="19"/>
              </w:rPr>
              <w:t>Design handoff and architecture brief, screen designs, flow specification and the functional requirements (v2)</w:t>
            </w:r>
          </w:p>
        </w:tc>
      </w:tr>
      <w:tr>
        <w:trPr>
          <w:cantSplit/>
        </w:trPr>
        <w:tc>
          <w:tcPr>
            <w:tcW w:type="dxa" w:w="1932"/>
          </w:tcPr>
          <w:p>
            <w:pPr>
              <w:spacing w:after="0" w:line="252" w:lineRule="auto"/>
            </w:pPr>
            <w:r>
              <w:rPr>
                <w:sz w:val="19"/>
              </w:rPr>
              <w:t>Testing feedback tracker</w:t>
            </w:r>
          </w:p>
        </w:tc>
        <w:tc>
          <w:tcPr>
            <w:tcW w:type="dxa" w:w="3739"/>
          </w:tcPr>
          <w:p>
            <w:pPr>
              <w:spacing w:after="0" w:line="252" w:lineRule="auto"/>
            </w:pPr>
            <w:r>
              <w:rPr>
                <w:rFonts w:ascii="Consolas" w:hAnsi="Consolas"/>
                <w:color w:val="5A1227"/>
                <w:sz w:val="17"/>
              </w:rPr>
              <w:t>docs/EMHIP_EPR_Testing_Feedback_Responses.xlsx</w:t>
            </w:r>
          </w:p>
        </w:tc>
        <w:tc>
          <w:tcPr>
            <w:tcW w:type="dxa" w:w="3739"/>
          </w:tcPr>
          <w:p>
            <w:pPr>
              <w:spacing w:after="0" w:line="252" w:lineRule="auto"/>
            </w:pPr>
            <w:r>
              <w:rPr>
                <w:sz w:val="19"/>
              </w:rPr>
              <w:t>The customer's round 1 sheet with a resolution and retest steps for each item</w:t>
            </w:r>
          </w:p>
        </w:tc>
      </w:tr>
      <w:tr>
        <w:trPr>
          <w:cantSplit/>
        </w:trPr>
        <w:tc>
          <w:tcPr>
            <w:tcW w:type="dxa" w:w="1932"/>
            <w:shd w:val="clear" w:color="auto" w:fill="FAF6F7"/>
          </w:tcPr>
          <w:p>
            <w:pPr>
              <w:spacing w:after="0" w:line="252" w:lineRule="auto"/>
            </w:pPr>
            <w:r>
              <w:rPr>
                <w:sz w:val="19"/>
              </w:rPr>
              <w:t>Live tester guide</w:t>
            </w:r>
          </w:p>
        </w:tc>
        <w:tc>
          <w:tcPr>
            <w:tcW w:type="dxa" w:w="3739"/>
            <w:shd w:val="clear" w:color="auto" w:fill="FAF6F7"/>
          </w:tcPr>
          <w:p>
            <w:pPr>
              <w:spacing w:after="0" w:line="252" w:lineRule="auto"/>
            </w:pPr>
            <w:hyperlink r:id="rId12">
              <w:r>
                <w:rPr>
                  <w:color w:val="1F5FA8"/>
                  <w:u w:val="single"/>
                  <w:sz w:val="19"/>
                </w:rPr>
                <w:t xml:space="preserve">Tester Guide on claude.ai</w:t>
              </w:r>
            </w:hyperlink>
          </w:p>
        </w:tc>
        <w:tc>
          <w:tcPr>
            <w:tcW w:type="dxa" w:w="3739"/>
            <w:shd w:val="clear" w:color="auto" w:fill="FAF6F7"/>
          </w:tcPr>
          <w:p>
            <w:pPr>
              <w:spacing w:after="0" w:line="252" w:lineRule="auto"/>
            </w:pPr>
            <w:r>
              <w:rPr>
                <w:sz w:val="19"/>
              </w:rPr>
              <w:t>Commentable copy of document 03, with a retest result column</w:t>
            </w:r>
          </w:p>
        </w:tc>
      </w:tr>
    </w:tbl>
    <w:p>
      <w:pPr>
        <w:spacing w:after="40"/>
      </w:pPr>
    </w:p>
    <w:p>
      <w:pPr>
        <w:pStyle w:val="Heading2"/>
        <w:pBdr>
          <w:bottom w:val="single" w:sz="6" w:space="4" w:color="E8D5DB"/>
        </w:pBdr>
      </w:pPr>
      <w:r>
        <w:rPr/>
        <w:t>3. Environments and access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468"/>
            <w:shd w:val="clear" w:color="auto" w:fill="8D1B3D"/>
          </w:tcPr>
          <w:p>
            <w:pPr>
              <w:spacing w:after="0" w:line="252" w:lineRule="auto"/>
            </w:pPr>
            <w:r>
              <w:rPr>
                <w:b/>
                <w:color w:val="FFFFFF"/>
                <w:sz w:val="19"/>
              </w:rPr>
              <w:t>Environment</w:t>
            </w:r>
          </w:p>
        </w:tc>
        <w:tc>
          <w:tcPr>
            <w:tcW w:type="dxa" w:w="3367"/>
            <w:shd w:val="clear" w:color="auto" w:fill="8D1B3D"/>
          </w:tcPr>
          <w:p>
            <w:pPr>
              <w:spacing w:after="0" w:line="252" w:lineRule="auto"/>
            </w:pPr>
            <w:r>
              <w:rPr>
                <w:b/>
                <w:color w:val="FFFFFF"/>
                <w:sz w:val="19"/>
              </w:rPr>
              <w:t>Address</w:t>
            </w:r>
          </w:p>
        </w:tc>
        <w:tc>
          <w:tcPr>
            <w:tcW w:type="dxa" w:w="4576"/>
            <w:shd w:val="clear" w:color="auto" w:fill="8D1B3D"/>
          </w:tcPr>
          <w:p>
            <w:pPr>
              <w:spacing w:after="0" w:line="252" w:lineRule="auto"/>
            </w:pPr>
            <w:r>
              <w:rPr>
                <w:b/>
                <w:color w:val="FFFFFF"/>
                <w:sz w:val="19"/>
              </w:rPr>
              <w:t>Purpose</w:t>
            </w:r>
          </w:p>
        </w:tc>
      </w:tr>
      <w:tr>
        <w:trPr>
          <w:cantSplit/>
        </w:trPr>
        <w:tc>
          <w:tcPr>
            <w:tcW w:type="dxa" w:w="1468"/>
          </w:tcPr>
          <w:p>
            <w:pPr>
              <w:spacing w:after="0" w:line="252" w:lineRule="auto"/>
            </w:pPr>
            <w:r>
              <w:rPr>
                <w:sz w:val="19"/>
              </w:rPr>
              <w:t>Production</w:t>
            </w:r>
          </w:p>
        </w:tc>
        <w:tc>
          <w:tcPr>
            <w:tcW w:type="dxa" w:w="3367"/>
          </w:tcPr>
          <w:p>
            <w:pPr>
              <w:spacing w:after="0" w:line="252" w:lineRule="auto"/>
            </w:pPr>
            <w:hyperlink r:id="rId11">
              <w:r>
                <w:rPr>
                  <w:color w:val="1F5FA8"/>
                  <w:u w:val="single"/>
                  <w:sz w:val="19"/>
                </w:rPr>
                <w:t xml:space="preserve">emhip.brainshub.co.uk</w:t>
              </w:r>
            </w:hyperlink>
          </w:p>
        </w:tc>
        <w:tc>
          <w:tcPr>
            <w:tcW w:type="dxa" w:w="4576"/>
          </w:tcPr>
          <w:p>
            <w:pPr>
              <w:spacing w:after="0" w:line="252" w:lineRule="auto"/>
            </w:pPr>
            <w:r>
              <w:rPr>
                <w:sz w:val="19"/>
              </w:rPr>
              <w:t>Live service and, at present, user acceptance testing</w:t>
            </w:r>
          </w:p>
        </w:tc>
      </w:tr>
      <w:tr>
        <w:trPr>
          <w:cantSplit/>
        </w:trPr>
        <w:tc>
          <w:tcPr>
            <w:tcW w:type="dxa" w:w="1468"/>
            <w:shd w:val="clear" w:color="auto" w:fill="FAF6F7"/>
          </w:tcPr>
          <w:p>
            <w:pPr>
              <w:spacing w:after="0" w:line="252" w:lineRule="auto"/>
            </w:pPr>
            <w:r>
              <w:rPr>
                <w:sz w:val="19"/>
              </w:rPr>
              <w:t>Local development</w:t>
            </w:r>
          </w:p>
        </w:tc>
        <w:tc>
          <w:tcPr>
            <w:tcW w:type="dxa" w:w="3367"/>
            <w:shd w:val="clear" w:color="auto" w:fill="FAF6F7"/>
          </w:tcPr>
          <w:p>
            <w:pPr>
              <w:spacing w:after="0" w:line="252" w:lineRule="auto"/>
            </w:pPr>
            <w:r>
              <w:rPr>
                <w:sz w:val="19"/>
              </w:rPr>
              <w:t>A developer's machine (see document 05)</w:t>
            </w:r>
          </w:p>
        </w:tc>
        <w:tc>
          <w:tcPr>
            <w:tcW w:type="dxa" w:w="4576"/>
            <w:shd w:val="clear" w:color="auto" w:fill="FAF6F7"/>
          </w:tcPr>
          <w:p>
            <w:pPr>
              <w:spacing w:after="0" w:line="252" w:lineRule="auto"/>
            </w:pPr>
            <w:r>
              <w:rPr>
                <w:sz w:val="19"/>
              </w:rPr>
              <w:t>Building and testing changes before they are pushed</w:t>
            </w:r>
          </w:p>
        </w:tc>
      </w:tr>
    </w:tbl>
    <w:p>
      <w:pPr>
        <w:spacing w:after="40"/>
      </w:pPr>
    </w:p>
    <w:p>
      <w:r>
        <w:rPr/>
        <w:t>There is no separate test or staging environment. Testing currently happens on production with made-up guests. See the open questions in section 8.</w:t>
      </w:r>
    </w:p>
    <w:p>
      <w:r>
        <w:rPr>
          <w:b/>
        </w:rPr>
        <w:t>Access to hand over</w:t>
      </w:r>
    </w:p>
    <w:p>
      <w:pPr>
        <w:pStyle w:val="ListBullet"/>
      </w:pPr>
      <w:r>
        <w:rPr>
          <w:b/>
        </w:rPr>
        <w:t>Application:</w:t>
      </w:r>
      <w:r>
        <w:rPr/>
        <w:t xml:space="preserve"> the first Admin account is created from </w:t>
      </w:r>
      <w:r>
        <w:rPr>
          <w:rFonts w:ascii="Consolas" w:hAnsi="Consolas"/>
          <w:color w:val="5A1227"/>
          <w:sz w:val="19"/>
        </w:rPr>
        <w:t>BOOTSTRAP_ADMIN_EMAIL</w:t>
      </w:r>
      <w:r>
        <w:rPr/>
        <w:t xml:space="preserve"> and </w:t>
      </w:r>
      <w:r>
        <w:rPr>
          <w:rFonts w:ascii="Consolas" w:hAnsi="Consolas"/>
          <w:color w:val="5A1227"/>
          <w:sz w:val="19"/>
        </w:rPr>
        <w:t>BOOTSTRAP_ADMIN_PASSWORD</w:t>
      </w:r>
      <w:r>
        <w:rPr/>
        <w:t xml:space="preserve"> in the server's </w:t>
      </w:r>
      <w:r>
        <w:rPr>
          <w:rFonts w:ascii="Consolas" w:hAnsi="Consolas"/>
          <w:color w:val="5A1227"/>
          <w:sz w:val="19"/>
        </w:rPr>
        <w:t>.env</w:t>
      </w:r>
      <w:r>
        <w:rPr/>
        <w:t xml:space="preserve"> file. There is no change-password screen yet, so replace that password with </w:t>
      </w:r>
      <w:r>
        <w:rPr>
          <w:b/>
        </w:rPr>
        <w:t>Forgot password?</w:t>
      </w:r>
      <w:r>
        <w:rPr/>
        <w:t xml:space="preserve"> on the sign-in page once email works, or have a second Admin reset it under </w:t>
      </w:r>
      <w:r>
        <w:rPr>
          <w:b/>
        </w:rPr>
        <w:t>Hub Workers</w:t>
      </w:r>
      <w:r>
        <w:rPr/>
        <w:t>. Then create a named account for every member of staff.</w:t>
      </w:r>
    </w:p>
    <w:p>
      <w:pPr>
        <w:pStyle w:val="ListBullet"/>
      </w:pPr>
      <w:r>
        <w:rPr>
          <w:b/>
        </w:rPr>
        <w:t>Server:</w:t>
      </w:r>
      <w:r>
        <w:rPr/>
        <w:t xml:space="preserve"> SSH access to the production host, currently as root. Agree who holds it after handover.</w:t>
      </w:r>
    </w:p>
    <w:p>
      <w:pPr>
        <w:pStyle w:val="ListBullet"/>
      </w:pPr>
      <w:r>
        <w:rPr>
          <w:b/>
        </w:rPr>
        <w:t>Code:</w:t>
      </w:r>
      <w:r>
        <w:rPr/>
        <w:t xml:space="preserve"> administrator access to the GitHub repository. Whoever can push to </w:t>
      </w:r>
      <w:r>
        <w:rPr>
          <w:rFonts w:ascii="Consolas" w:hAnsi="Consolas"/>
          <w:color w:val="5A1227"/>
          <w:sz w:val="19"/>
        </w:rPr>
        <w:t>main</w:t>
      </w:r>
      <w:r>
        <w:rPr/>
        <w:t xml:space="preserve"> can deploy to production.</w:t>
      </w:r>
    </w:p>
    <w:p>
      <w:pPr>
        <w:pStyle w:val="ListBullet"/>
      </w:pPr>
      <w:r>
        <w:rPr>
          <w:b/>
        </w:rPr>
        <w:t>Secrets:</w:t>
      </w:r>
      <w:r>
        <w:rPr/>
        <w:t xml:space="preserve"> the </w:t>
      </w:r>
      <w:r>
        <w:rPr>
          <w:rFonts w:ascii="Consolas" w:hAnsi="Consolas"/>
          <w:color w:val="5A1227"/>
          <w:sz w:val="19"/>
        </w:rPr>
        <w:t>.env</w:t>
      </w:r>
      <w:r>
        <w:rPr/>
        <w:t xml:space="preserve"> file on the server holds the database password, the signing key for sign-in tokens, and email and storage credentials. Rotate them when access changes hands (document 06 explains how).</w:t>
      </w:r>
    </w:p>
    <w:p>
      <w:pPr>
        <w:pStyle w:val="Heading2"/>
        <w:pBdr>
          <w:bottom w:val="single" w:sz="6" w:space="4" w:color="E8D5DB"/>
        </w:pBdr>
      </w:pPr>
      <w:r>
        <w:rPr/>
        <w:t>4. State of the system at handover</w:t>
      </w:r>
    </w:p>
    <w:p>
      <w:pPr>
        <w:pStyle w:val="ListBullet"/>
      </w:pPr>
      <w:r>
        <w:rPr>
          <w:b/>
        </w:rPr>
        <w:t>Features:</w:t>
      </w:r>
      <w:r>
        <w:rPr/>
        <w:t xml:space="preserve"> everything in the functional requirements (v2) and the design handoff is built. The 30 September release adds the customer's round 1 feedback.</w:t>
      </w:r>
    </w:p>
    <w:p>
      <w:pPr>
        <w:pStyle w:val="ListBullet"/>
      </w:pPr>
      <w:r>
        <w:rPr>
          <w:b/>
        </w:rPr>
        <w:t>Testing feedback, round 1:</w:t>
      </w:r>
      <w:r>
        <w:rPr/>
        <w:t xml:space="preserve"> all 13 items are resolved and ready to retest. Preparing this handover found further problems, and the ones that affected everyday work are fixed too. Document 07 lists every change; document 03 has the retest checklist.</w:t>
      </w:r>
    </w:p>
    <w:p>
      <w:pPr>
        <w:pStyle w:val="ListBullet"/>
      </w:pPr>
      <w:r>
        <w:rPr>
          <w:b/>
        </w:rPr>
        <w:t>Automated checks:</w:t>
      </w:r>
      <w:r>
        <w:rPr/>
        <w:t xml:space="preserve"> 74 unit tests and the API start-up test pass. The application builds cleanly; the only warnings are about stylesheet size and an older stylesheet syntax, and neither affects users.</w:t>
      </w:r>
    </w:p>
    <w:p>
      <w:pPr>
        <w:pStyle w:val="ListBullet"/>
      </w:pPr>
      <w:r>
        <w:rPr>
          <w:b/>
        </w:rPr>
        <w:t>Known issues:</w:t>
      </w:r>
      <w:r>
        <w:rPr/>
        <w:t xml:space="preserve"> a short list of limitations not fixed in this release, each with a recommendation, is in document 08. None of them blocks day-to-day use.</w:t>
      </w:r>
    </w:p>
    <w:p>
      <w:pPr>
        <w:pStyle w:val="ListBullet"/>
      </w:pPr>
      <w:r>
        <w:rPr>
          <w:b/>
        </w:rPr>
        <w:t>Data protection:</w:t>
      </w:r>
      <w:r>
        <w:rPr/>
        <w:t xml:space="preserve"> the technical controls for UK GDPR are in place. The organisation still has actions to complete, such as data processing agreements and a privacy notice (document 09, section 6).</w:t>
      </w:r>
    </w:p>
    <w:p>
      <w:pPr>
        <w:pStyle w:val="Heading2"/>
        <w:pBdr>
          <w:bottom w:val="single" w:sz="6" w:space="4" w:color="E8D5DB"/>
        </w:pBdr>
      </w:pPr>
      <w:r>
        <w:rPr/>
        <w:t>5. Timeline</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078"/>
            <w:shd w:val="clear" w:color="auto" w:fill="8D1B3D"/>
          </w:tcPr>
          <w:p>
            <w:pPr>
              <w:spacing w:after="0" w:line="252" w:lineRule="auto"/>
            </w:pPr>
            <w:r>
              <w:rPr>
                <w:b/>
                <w:color w:val="FFFFFF"/>
                <w:sz w:val="19"/>
              </w:rPr>
              <w:t>Date</w:t>
            </w:r>
          </w:p>
        </w:tc>
        <w:tc>
          <w:tcPr>
            <w:tcW w:type="dxa" w:w="7333"/>
            <w:shd w:val="clear" w:color="auto" w:fill="8D1B3D"/>
          </w:tcPr>
          <w:p>
            <w:pPr>
              <w:spacing w:after="0" w:line="252" w:lineRule="auto"/>
            </w:pPr>
            <w:r>
              <w:rPr>
                <w:b/>
                <w:color w:val="FFFFFF"/>
                <w:sz w:val="19"/>
              </w:rPr>
              <w:t>Milestone</w:t>
            </w:r>
          </w:p>
        </w:tc>
      </w:tr>
      <w:tr>
        <w:trPr>
          <w:cantSplit/>
        </w:trPr>
        <w:tc>
          <w:tcPr>
            <w:tcW w:type="dxa" w:w="2078"/>
          </w:tcPr>
          <w:p>
            <w:pPr>
              <w:spacing w:after="0" w:line="252" w:lineRule="auto"/>
            </w:pPr>
            <w:r>
              <w:rPr>
                <w:sz w:val="19"/>
              </w:rPr>
              <w:t>13 July 2026</w:t>
            </w:r>
          </w:p>
        </w:tc>
        <w:tc>
          <w:tcPr>
            <w:tcW w:type="dxa" w:w="7333"/>
          </w:tcPr>
          <w:p>
            <w:pPr>
              <w:spacing w:after="0" w:line="252" w:lineRule="auto"/>
            </w:pPr>
            <w:r>
              <w:rPr>
                <w:sz w:val="19"/>
              </w:rPr>
              <w:t>Project started; architecture and design handoff agreed</w:t>
            </w:r>
          </w:p>
        </w:tc>
      </w:tr>
      <w:tr>
        <w:trPr>
          <w:cantSplit/>
        </w:trPr>
        <w:tc>
          <w:tcPr>
            <w:tcW w:type="dxa" w:w="2078"/>
            <w:shd w:val="clear" w:color="auto" w:fill="FAF6F7"/>
          </w:tcPr>
          <w:p>
            <w:pPr>
              <w:spacing w:after="0" w:line="252" w:lineRule="auto"/>
            </w:pPr>
            <w:r>
              <w:rPr>
                <w:sz w:val="19"/>
              </w:rPr>
              <w:t>17 August 2026</w:t>
            </w:r>
          </w:p>
        </w:tc>
        <w:tc>
          <w:tcPr>
            <w:tcW w:type="dxa" w:w="7333"/>
            <w:shd w:val="clear" w:color="auto" w:fill="FAF6F7"/>
          </w:tcPr>
          <w:p>
            <w:pPr>
              <w:spacing w:after="0" w:line="252" w:lineRule="auto"/>
            </w:pPr>
            <w:r>
              <w:rPr>
                <w:sz w:val="19"/>
              </w:rPr>
              <w:t>First production deployment</w:t>
            </w:r>
          </w:p>
        </w:tc>
      </w:tr>
      <w:tr>
        <w:trPr>
          <w:cantSplit/>
        </w:trPr>
        <w:tc>
          <w:tcPr>
            <w:tcW w:type="dxa" w:w="2078"/>
          </w:tcPr>
          <w:p>
            <w:pPr>
              <w:spacing w:after="0" w:line="252" w:lineRule="auto"/>
            </w:pPr>
            <w:r>
              <w:rPr>
                <w:sz w:val="19"/>
              </w:rPr>
              <w:t>9 September 2026</w:t>
            </w:r>
          </w:p>
        </w:tc>
        <w:tc>
          <w:tcPr>
            <w:tcW w:type="dxa" w:w="7333"/>
          </w:tcPr>
          <w:p>
            <w:pPr>
              <w:spacing w:after="0" w:line="252" w:lineRule="auto"/>
            </w:pPr>
            <w:r>
              <w:rPr>
                <w:sz w:val="19"/>
              </w:rPr>
              <w:t>Urgent episode record, casework note attachments and UK GDPR controls</w:t>
            </w:r>
          </w:p>
        </w:tc>
      </w:tr>
      <w:tr>
        <w:trPr>
          <w:cantSplit/>
        </w:trPr>
        <w:tc>
          <w:tcPr>
            <w:tcW w:type="dxa" w:w="2078"/>
            <w:shd w:val="clear" w:color="auto" w:fill="FAF6F7"/>
          </w:tcPr>
          <w:p>
            <w:pPr>
              <w:spacing w:after="0" w:line="252" w:lineRule="auto"/>
            </w:pPr>
            <w:r>
              <w:rPr>
                <w:sz w:val="19"/>
              </w:rPr>
              <w:t>30 September 2026</w:t>
            </w:r>
          </w:p>
        </w:tc>
        <w:tc>
          <w:tcPr>
            <w:tcW w:type="dxa" w:w="7333"/>
            <w:shd w:val="clear" w:color="auto" w:fill="FAF6F7"/>
          </w:tcPr>
          <w:p>
            <w:pPr>
              <w:spacing w:after="0" w:line="252" w:lineRule="auto"/>
            </w:pPr>
            <w:r>
              <w:rPr>
                <w:sz w:val="19"/>
              </w:rPr>
              <w:t>Customer testing feedback, round 1, resolved; handover pack issued</w:t>
            </w:r>
          </w:p>
        </w:tc>
      </w:tr>
    </w:tbl>
    <w:p>
      <w:pPr>
        <w:spacing w:after="40"/>
      </w:pPr>
    </w:p>
    <w:p>
      <w:pPr>
        <w:pStyle w:val="Heading2"/>
        <w:pBdr>
          <w:bottom w:val="single" w:sz="6" w:space="4" w:color="E8D5DB"/>
        </w:pBdr>
      </w:pPr>
      <w:r>
        <w:rPr/>
        <w:t>6. The documentation pack</w:t>
      </w:r>
    </w:p>
    <w:p>
      <w:r>
        <w:rPr/>
        <w:t xml:space="preserve">Every document is in </w:t>
      </w:r>
      <w:r>
        <w:rPr>
          <w:rFonts w:ascii="Consolas" w:hAnsi="Consolas"/>
          <w:color w:val="5A1227"/>
          <w:sz w:val="19"/>
        </w:rPr>
        <w:t>docs/handover</w:t>
      </w:r>
      <w:r>
        <w:rPr/>
        <w:t xml:space="preserve"> as Markdown (the source), and as Word and PDF copies in the </w:t>
      </w:r>
      <w:r>
        <w:rPr>
          <w:rFonts w:ascii="Consolas" w:hAnsi="Consolas"/>
          <w:color w:val="5A1227"/>
          <w:sz w:val="19"/>
        </w:rPr>
        <w:t>word</w:t>
      </w:r>
      <w:r>
        <w:rPr/>
        <w:t xml:space="preserve"> and </w:t>
      </w:r>
      <w:r>
        <w:rPr>
          <w:rFonts w:ascii="Consolas" w:hAnsi="Consolas"/>
          <w:color w:val="5A1227"/>
          <w:sz w:val="19"/>
        </w:rPr>
        <w:t>pdf</w:t>
      </w:r>
      <w:r>
        <w:rPr/>
        <w:t xml:space="preserve"> folders.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863"/>
            <w:shd w:val="clear" w:color="auto" w:fill="8D1B3D"/>
          </w:tcPr>
          <w:p>
            <w:pPr>
              <w:spacing w:after="0" w:line="252" w:lineRule="auto"/>
            </w:pPr>
            <w:r>
              <w:rPr>
                <w:b/>
                <w:color w:val="FFFFFF"/>
                <w:sz w:val="19"/>
              </w:rPr>
              <w:t>#</w:t>
            </w:r>
          </w:p>
        </w:tc>
        <w:tc>
          <w:tcPr>
            <w:tcW w:type="dxa" w:w="2204"/>
            <w:shd w:val="clear" w:color="auto" w:fill="8D1B3D"/>
          </w:tcPr>
          <w:p>
            <w:pPr>
              <w:spacing w:after="0" w:line="252" w:lineRule="auto"/>
            </w:pPr>
            <w:r>
              <w:rPr>
                <w:b/>
                <w:color w:val="FFFFFF"/>
                <w:sz w:val="19"/>
              </w:rPr>
              <w:t>Document</w:t>
            </w:r>
          </w:p>
        </w:tc>
        <w:tc>
          <w:tcPr>
            <w:tcW w:type="dxa" w:w="2337"/>
            <w:shd w:val="clear" w:color="auto" w:fill="8D1B3D"/>
          </w:tcPr>
          <w:p>
            <w:pPr>
              <w:spacing w:after="0" w:line="252" w:lineRule="auto"/>
            </w:pPr>
            <w:r>
              <w:rPr>
                <w:b/>
                <w:color w:val="FFFFFF"/>
                <w:sz w:val="19"/>
              </w:rPr>
              <w:t>For</w:t>
            </w:r>
          </w:p>
        </w:tc>
        <w:tc>
          <w:tcPr>
            <w:tcW w:type="dxa" w:w="4007"/>
            <w:shd w:val="clear" w:color="auto" w:fill="8D1B3D"/>
          </w:tcPr>
          <w:p>
            <w:pPr>
              <w:spacing w:after="0" w:line="252" w:lineRule="auto"/>
            </w:pPr>
            <w:r>
              <w:rPr>
                <w:b/>
                <w:color w:val="FFFFFF"/>
                <w:sz w:val="19"/>
              </w:rPr>
              <w:t>Use it to</w:t>
            </w:r>
          </w:p>
        </w:tc>
      </w:tr>
      <w:tr>
        <w:trPr>
          <w:cantSplit/>
        </w:trPr>
        <w:tc>
          <w:tcPr>
            <w:tcW w:type="dxa" w:w="863"/>
          </w:tcPr>
          <w:p>
            <w:pPr>
              <w:spacing w:after="0" w:line="252" w:lineRule="auto"/>
            </w:pPr>
            <w:r>
              <w:rPr>
                <w:sz w:val="19"/>
              </w:rPr>
              <w:t>01</w:t>
            </w:r>
          </w:p>
        </w:tc>
        <w:tc>
          <w:tcPr>
            <w:tcW w:type="dxa" w:w="2204"/>
          </w:tcPr>
          <w:p>
            <w:pPr>
              <w:spacing w:after="0" w:line="252" w:lineRule="auto"/>
            </w:pPr>
            <w:r>
              <w:rPr>
                <w:sz w:val="19"/>
              </w:rPr>
              <w:t>Handover Overview (this document)</w:t>
            </w:r>
          </w:p>
        </w:tc>
        <w:tc>
          <w:tcPr>
            <w:tcW w:type="dxa" w:w="2337"/>
          </w:tcPr>
          <w:p>
            <w:pPr>
              <w:spacing w:after="0" w:line="252" w:lineRule="auto"/>
            </w:pPr>
            <w:r>
              <w:rPr>
                <w:sz w:val="19"/>
              </w:rPr>
              <w:t>Project team, service leads</w:t>
            </w:r>
          </w:p>
        </w:tc>
        <w:tc>
          <w:tcPr>
            <w:tcW w:type="dxa" w:w="4007"/>
          </w:tcPr>
          <w:p>
            <w:pPr>
              <w:spacing w:after="0" w:line="252" w:lineRule="auto"/>
            </w:pPr>
            <w:r>
              <w:rPr>
                <w:sz w:val="19"/>
              </w:rPr>
              <w:t>See what is handed over and what remains to do</w:t>
            </w:r>
          </w:p>
        </w:tc>
      </w:tr>
      <w:tr>
        <w:trPr>
          <w:cantSplit/>
        </w:trPr>
        <w:tc>
          <w:tcPr>
            <w:tcW w:type="dxa" w:w="863"/>
            <w:shd w:val="clear" w:color="auto" w:fill="FAF6F7"/>
          </w:tcPr>
          <w:p>
            <w:pPr>
              <w:spacing w:after="0" w:line="252" w:lineRule="auto"/>
            </w:pPr>
            <w:r>
              <w:rPr>
                <w:sz w:val="19"/>
              </w:rPr>
              <w:t>02</w:t>
            </w:r>
          </w:p>
        </w:tc>
        <w:tc>
          <w:tcPr>
            <w:tcW w:type="dxa" w:w="2204"/>
            <w:shd w:val="clear" w:color="auto" w:fill="FAF6F7"/>
          </w:tcPr>
          <w:p>
            <w:pPr>
              <w:spacing w:after="0" w:line="252" w:lineRule="auto"/>
            </w:pPr>
            <w:r>
              <w:rPr>
                <w:sz w:val="19"/>
              </w:rPr>
              <w:t>User Guide</w:t>
            </w:r>
          </w:p>
        </w:tc>
        <w:tc>
          <w:tcPr>
            <w:tcW w:type="dxa" w:w="2337"/>
            <w:shd w:val="clear" w:color="auto" w:fill="FAF6F7"/>
          </w:tcPr>
          <w:p>
            <w:pPr>
              <w:spacing w:after="0" w:line="252" w:lineRule="auto"/>
            </w:pPr>
            <w:r>
              <w:rPr>
                <w:sz w:val="19"/>
              </w:rPr>
              <w:t>CMHWs, CPNs, Hub Managers</w:t>
            </w:r>
          </w:p>
        </w:tc>
        <w:tc>
          <w:tcPr>
            <w:tcW w:type="dxa" w:w="4007"/>
            <w:shd w:val="clear" w:color="auto" w:fill="FAF6F7"/>
          </w:tcPr>
          <w:p>
            <w:pPr>
              <w:spacing w:after="0" w:line="252" w:lineRule="auto"/>
            </w:pPr>
            <w:r>
              <w:rPr>
                <w:sz w:val="19"/>
              </w:rPr>
              <w:t>Learn and look up every everyday task</w:t>
            </w:r>
          </w:p>
        </w:tc>
      </w:tr>
      <w:tr>
        <w:trPr>
          <w:cantSplit/>
        </w:trPr>
        <w:tc>
          <w:tcPr>
            <w:tcW w:type="dxa" w:w="863"/>
          </w:tcPr>
          <w:p>
            <w:pPr>
              <w:spacing w:after="0" w:line="252" w:lineRule="auto"/>
            </w:pPr>
            <w:r>
              <w:rPr>
                <w:sz w:val="19"/>
              </w:rPr>
              <w:t>03</w:t>
            </w:r>
          </w:p>
        </w:tc>
        <w:tc>
          <w:tcPr>
            <w:tcW w:type="dxa" w:w="2204"/>
          </w:tcPr>
          <w:p>
            <w:pPr>
              <w:spacing w:after="0" w:line="252" w:lineRule="auto"/>
            </w:pPr>
            <w:r>
              <w:rPr>
                <w:sz w:val="19"/>
              </w:rPr>
              <w:t>Tester Guide</w:t>
            </w:r>
          </w:p>
        </w:tc>
        <w:tc>
          <w:tcPr>
            <w:tcW w:type="dxa" w:w="2337"/>
          </w:tcPr>
          <w:p>
            <w:pPr>
              <w:spacing w:after="0" w:line="252" w:lineRule="auto"/>
            </w:pPr>
            <w:r>
              <w:rPr>
                <w:sz w:val="19"/>
              </w:rPr>
              <w:t>Testing team</w:t>
            </w:r>
          </w:p>
        </w:tc>
        <w:tc>
          <w:tcPr>
            <w:tcW w:type="dxa" w:w="4007"/>
          </w:tcPr>
          <w:p>
            <w:pPr>
              <w:spacing w:after="0" w:line="252" w:lineRule="auto"/>
            </w:pPr>
            <w:r>
              <w:rPr>
                <w:sz w:val="19"/>
              </w:rPr>
              <w:t>Retest round 1 and test every workflow end to end</w:t>
            </w:r>
          </w:p>
        </w:tc>
      </w:tr>
      <w:tr>
        <w:trPr>
          <w:cantSplit/>
        </w:trPr>
        <w:tc>
          <w:tcPr>
            <w:tcW w:type="dxa" w:w="863"/>
            <w:shd w:val="clear" w:color="auto" w:fill="FAF6F7"/>
          </w:tcPr>
          <w:p>
            <w:pPr>
              <w:spacing w:after="0" w:line="252" w:lineRule="auto"/>
            </w:pPr>
            <w:r>
              <w:rPr>
                <w:sz w:val="19"/>
              </w:rPr>
              <w:t>04</w:t>
            </w:r>
          </w:p>
        </w:tc>
        <w:tc>
          <w:tcPr>
            <w:tcW w:type="dxa" w:w="2204"/>
            <w:shd w:val="clear" w:color="auto" w:fill="FAF6F7"/>
          </w:tcPr>
          <w:p>
            <w:pPr>
              <w:spacing w:after="0" w:line="252" w:lineRule="auto"/>
            </w:pPr>
            <w:r>
              <w:rPr>
                <w:sz w:val="19"/>
              </w:rPr>
              <w:t>Administrator Guide</w:t>
            </w:r>
          </w:p>
        </w:tc>
        <w:tc>
          <w:tcPr>
            <w:tcW w:type="dxa" w:w="2337"/>
            <w:shd w:val="clear" w:color="auto" w:fill="FAF6F7"/>
          </w:tcPr>
          <w:p>
            <w:pPr>
              <w:spacing w:after="0" w:line="252" w:lineRule="auto"/>
            </w:pPr>
            <w:r>
              <w:rPr>
                <w:sz w:val="19"/>
              </w:rPr>
              <w:t>System administrators, Hub Managers</w:t>
            </w:r>
          </w:p>
        </w:tc>
        <w:tc>
          <w:tcPr>
            <w:tcW w:type="dxa" w:w="4007"/>
            <w:shd w:val="clear" w:color="auto" w:fill="FAF6F7"/>
          </w:tcPr>
          <w:p>
            <w:pPr>
              <w:spacing w:after="0" w:line="252" w:lineRule="auto"/>
            </w:pPr>
            <w:r>
              <w:rPr>
                <w:sz w:val="19"/>
              </w:rPr>
              <w:t>Manage staff, roles, settings, option lists, data import and data protection duties</w:t>
            </w:r>
          </w:p>
        </w:tc>
      </w:tr>
      <w:tr>
        <w:trPr>
          <w:cantSplit/>
        </w:trPr>
        <w:tc>
          <w:tcPr>
            <w:tcW w:type="dxa" w:w="863"/>
          </w:tcPr>
          <w:p>
            <w:pPr>
              <w:spacing w:after="0" w:line="252" w:lineRule="auto"/>
            </w:pPr>
            <w:r>
              <w:rPr>
                <w:sz w:val="19"/>
              </w:rPr>
              <w:t>05</w:t>
            </w:r>
          </w:p>
        </w:tc>
        <w:tc>
          <w:tcPr>
            <w:tcW w:type="dxa" w:w="2204"/>
          </w:tcPr>
          <w:p>
            <w:pPr>
              <w:spacing w:after="0" w:line="252" w:lineRule="auto"/>
            </w:pPr>
            <w:r>
              <w:rPr>
                <w:sz w:val="19"/>
              </w:rPr>
              <w:t>Technical Handover</w:t>
            </w:r>
          </w:p>
        </w:tc>
        <w:tc>
          <w:tcPr>
            <w:tcW w:type="dxa" w:w="2337"/>
          </w:tcPr>
          <w:p>
            <w:pPr>
              <w:spacing w:after="0" w:line="252" w:lineRule="auto"/>
            </w:pPr>
            <w:r>
              <w:rPr>
                <w:sz w:val="19"/>
              </w:rPr>
              <w:t>Developers, IT</w:t>
            </w:r>
          </w:p>
        </w:tc>
        <w:tc>
          <w:tcPr>
            <w:tcW w:type="dxa" w:w="4007"/>
          </w:tcPr>
          <w:p>
            <w:pPr>
              <w:spacing w:after="0" w:line="252" w:lineRule="auto"/>
            </w:pPr>
            <w:r>
              <w:rPr>
                <w:sz w:val="19"/>
              </w:rPr>
              <w:t>Understand the architecture, code, configuration and how to change it safely</w:t>
            </w:r>
          </w:p>
        </w:tc>
      </w:tr>
      <w:tr>
        <w:trPr>
          <w:cantSplit/>
        </w:trPr>
        <w:tc>
          <w:tcPr>
            <w:tcW w:type="dxa" w:w="863"/>
            <w:shd w:val="clear" w:color="auto" w:fill="FAF6F7"/>
          </w:tcPr>
          <w:p>
            <w:pPr>
              <w:spacing w:after="0" w:line="252" w:lineRule="auto"/>
            </w:pPr>
            <w:r>
              <w:rPr>
                <w:sz w:val="19"/>
              </w:rPr>
              <w:t>06</w:t>
            </w:r>
          </w:p>
        </w:tc>
        <w:tc>
          <w:tcPr>
            <w:tcW w:type="dxa" w:w="2204"/>
            <w:shd w:val="clear" w:color="auto" w:fill="FAF6F7"/>
          </w:tcPr>
          <w:p>
            <w:pPr>
              <w:spacing w:after="0" w:line="252" w:lineRule="auto"/>
            </w:pPr>
            <w:r>
              <w:rPr>
                <w:sz w:val="19"/>
              </w:rPr>
              <w:t>Deployment and Operations Runbook</w:t>
            </w:r>
          </w:p>
        </w:tc>
        <w:tc>
          <w:tcPr>
            <w:tcW w:type="dxa" w:w="2337"/>
            <w:shd w:val="clear" w:color="auto" w:fill="FAF6F7"/>
          </w:tcPr>
          <w:p>
            <w:pPr>
              <w:spacing w:after="0" w:line="252" w:lineRule="auto"/>
            </w:pPr>
            <w:r>
              <w:rPr>
                <w:sz w:val="19"/>
              </w:rPr>
              <w:t>Whoever runs the server</w:t>
            </w:r>
          </w:p>
        </w:tc>
        <w:tc>
          <w:tcPr>
            <w:tcW w:type="dxa" w:w="4007"/>
            <w:shd w:val="clear" w:color="auto" w:fill="FAF6F7"/>
          </w:tcPr>
          <w:p>
            <w:pPr>
              <w:spacing w:after="0" w:line="252" w:lineRule="auto"/>
            </w:pPr>
            <w:r>
              <w:rPr>
                <w:sz w:val="19"/>
              </w:rPr>
              <w:t>Deploy, verify, roll back, back up, restore and troubleshoot</w:t>
            </w:r>
          </w:p>
        </w:tc>
      </w:tr>
      <w:tr>
        <w:trPr>
          <w:cantSplit/>
        </w:trPr>
        <w:tc>
          <w:tcPr>
            <w:tcW w:type="dxa" w:w="863"/>
          </w:tcPr>
          <w:p>
            <w:pPr>
              <w:spacing w:after="0" w:line="252" w:lineRule="auto"/>
            </w:pPr>
            <w:r>
              <w:rPr>
                <w:sz w:val="19"/>
              </w:rPr>
              <w:t>07</w:t>
            </w:r>
          </w:p>
        </w:tc>
        <w:tc>
          <w:tcPr>
            <w:tcW w:type="dxa" w:w="2204"/>
          </w:tcPr>
          <w:p>
            <w:pPr>
              <w:spacing w:after="0" w:line="252" w:lineRule="auto"/>
            </w:pPr>
            <w:r>
              <w:rPr>
                <w:sz w:val="19"/>
              </w:rPr>
              <w:t>Release Notes, 30 September 2026</w:t>
            </w:r>
          </w:p>
        </w:tc>
        <w:tc>
          <w:tcPr>
            <w:tcW w:type="dxa" w:w="2337"/>
          </w:tcPr>
          <w:p>
            <w:pPr>
              <w:spacing w:after="0" w:line="252" w:lineRule="auto"/>
            </w:pPr>
            <w:r>
              <w:rPr>
                <w:sz w:val="19"/>
              </w:rPr>
              <w:t>Project team, administrators</w:t>
            </w:r>
          </w:p>
        </w:tc>
        <w:tc>
          <w:tcPr>
            <w:tcW w:type="dxa" w:w="4007"/>
          </w:tcPr>
          <w:p>
            <w:pPr>
              <w:spacing w:after="0" w:line="252" w:lineRule="auto"/>
            </w:pPr>
            <w:r>
              <w:rPr>
                <w:sz w:val="19"/>
              </w:rPr>
              <w:t>See exactly what changed in this release</w:t>
            </w:r>
          </w:p>
        </w:tc>
      </w:tr>
      <w:tr>
        <w:trPr>
          <w:cantSplit/>
        </w:trPr>
        <w:tc>
          <w:tcPr>
            <w:tcW w:type="dxa" w:w="863"/>
            <w:shd w:val="clear" w:color="auto" w:fill="FAF6F7"/>
          </w:tcPr>
          <w:p>
            <w:pPr>
              <w:spacing w:after="0" w:line="252" w:lineRule="auto"/>
            </w:pPr>
            <w:r>
              <w:rPr>
                <w:sz w:val="19"/>
              </w:rPr>
              <w:t>08</w:t>
            </w:r>
          </w:p>
        </w:tc>
        <w:tc>
          <w:tcPr>
            <w:tcW w:type="dxa" w:w="2204"/>
            <w:shd w:val="clear" w:color="auto" w:fill="FAF6F7"/>
          </w:tcPr>
          <w:p>
            <w:pPr>
              <w:spacing w:after="0" w:line="252" w:lineRule="auto"/>
            </w:pPr>
            <w:r>
              <w:rPr>
                <w:sz w:val="19"/>
              </w:rPr>
              <w:t>Known Issues and Recommendations</w:t>
            </w:r>
          </w:p>
        </w:tc>
        <w:tc>
          <w:tcPr>
            <w:tcW w:type="dxa" w:w="2337"/>
            <w:shd w:val="clear" w:color="auto" w:fill="FAF6F7"/>
          </w:tcPr>
          <w:p>
            <w:pPr>
              <w:spacing w:after="0" w:line="252" w:lineRule="auto"/>
            </w:pPr>
            <w:r>
              <w:rPr>
                <w:sz w:val="19"/>
              </w:rPr>
              <w:t>Project team, developers</w:t>
            </w:r>
          </w:p>
        </w:tc>
        <w:tc>
          <w:tcPr>
            <w:tcW w:type="dxa" w:w="4007"/>
            <w:shd w:val="clear" w:color="auto" w:fill="FAF6F7"/>
          </w:tcPr>
          <w:p>
            <w:pPr>
              <w:spacing w:after="0" w:line="252" w:lineRule="auto"/>
            </w:pPr>
            <w:r>
              <w:rPr>
                <w:sz w:val="19"/>
              </w:rPr>
              <w:t>Decide what to fix next</w:t>
            </w:r>
          </w:p>
        </w:tc>
      </w:tr>
      <w:tr>
        <w:trPr>
          <w:cantSplit/>
        </w:trPr>
        <w:tc>
          <w:tcPr>
            <w:tcW w:type="dxa" w:w="863"/>
          </w:tcPr>
          <w:p>
            <w:pPr>
              <w:spacing w:after="0" w:line="252" w:lineRule="auto"/>
            </w:pPr>
            <w:r>
              <w:rPr>
                <w:sz w:val="19"/>
              </w:rPr>
              <w:t>09</w:t>
            </w:r>
          </w:p>
        </w:tc>
        <w:tc>
          <w:tcPr>
            <w:tcW w:type="dxa" w:w="2204"/>
          </w:tcPr>
          <w:p>
            <w:pPr>
              <w:spacing w:after="0" w:line="252" w:lineRule="auto"/>
            </w:pPr>
            <w:r>
              <w:rPr>
                <w:sz w:val="19"/>
              </w:rPr>
              <w:t>UK GDPR Compliance Register</w:t>
            </w:r>
          </w:p>
        </w:tc>
        <w:tc>
          <w:tcPr>
            <w:tcW w:type="dxa" w:w="2337"/>
          </w:tcPr>
          <w:p>
            <w:pPr>
              <w:spacing w:after="0" w:line="252" w:lineRule="auto"/>
            </w:pPr>
            <w:r>
              <w:rPr>
                <w:sz w:val="19"/>
              </w:rPr>
              <w:t>Data protection lead</w:t>
            </w:r>
          </w:p>
        </w:tc>
        <w:tc>
          <w:tcPr>
            <w:tcW w:type="dxa" w:w="4007"/>
          </w:tcPr>
          <w:p>
            <w:pPr>
              <w:spacing w:after="0" w:line="252" w:lineRule="auto"/>
            </w:pPr>
            <w:r>
              <w:rPr>
                <w:sz w:val="19"/>
              </w:rPr>
              <w:t>See how each UK GDPR requirement is met and what the organisation must still do</w:t>
            </w:r>
          </w:p>
        </w:tc>
      </w:tr>
    </w:tbl>
    <w:p>
      <w:pPr>
        <w:spacing w:after="40"/>
      </w:pPr>
    </w:p>
    <w:p>
      <w:pPr>
        <w:pStyle w:val="Heading2"/>
        <w:pBdr>
          <w:bottom w:val="single" w:sz="6" w:space="4" w:color="E8D5DB"/>
        </w:pBdr>
      </w:pPr>
      <w:r>
        <w:rPr/>
        <w:t>7. Handover checklist</w:t>
      </w:r>
    </w:p>
    <w:p>
      <w:r>
        <w:rPr>
          <w:b/>
        </w:rPr>
        <w:t>Customer</w:t>
      </w:r>
    </w:p>
    <w:p>
      <w:pPr>
        <w:tabs>
          <w:tab w:pos="425" w:val="left"/>
        </w:tabs>
        <w:spacing w:after="60"/>
        <w:ind w:left="425" w:hanging="340"/>
      </w:pPr>
      <w:r>
        <w:rPr>
          <w:sz w:val="24"/>
        </w:rPr>
        <w:t>☐</w:t>
        <w:tab/>
      </w:r>
      <w:r>
        <w:rPr/>
        <w:t>Read documents 01, 02 and 04, and share 02 with staff</w:t>
      </w:r>
    </w:p>
    <w:p>
      <w:pPr>
        <w:tabs>
          <w:tab w:pos="425" w:val="left"/>
        </w:tabs>
        <w:spacing w:after="60"/>
        <w:ind w:left="425" w:hanging="340"/>
      </w:pPr>
      <w:r>
        <w:rPr>
          <w:sz w:val="24"/>
        </w:rPr>
        <w:t>☐</w:t>
        <w:tab/>
      </w:r>
      <w:r>
        <w:rPr/>
        <w:t>Retest the round 1 feedback with document 03 and record the results in the feedback sheet</w:t>
      </w:r>
    </w:p>
    <w:p>
      <w:pPr>
        <w:tabs>
          <w:tab w:pos="425" w:val="left"/>
        </w:tabs>
        <w:spacing w:after="60"/>
        <w:ind w:left="425" w:hanging="340"/>
      </w:pPr>
      <w:r>
        <w:rPr>
          <w:sz w:val="24"/>
        </w:rPr>
        <w:t>☐</w:t>
        <w:tab/>
      </w:r>
      <w:r>
        <w:rPr/>
        <w:t>Sign in with the first Admin account, replace its password (section 3), and create named accounts for all staff</w:t>
      </w:r>
    </w:p>
    <w:p>
      <w:pPr>
        <w:tabs>
          <w:tab w:pos="425" w:val="left"/>
        </w:tabs>
        <w:spacing w:after="60"/>
        <w:ind w:left="425" w:hanging="340"/>
      </w:pPr>
      <w:r>
        <w:rPr>
          <w:sz w:val="24"/>
        </w:rPr>
        <w:t>☐</w:t>
        <w:tab/>
      </w:r>
      <w:r>
        <w:rPr/>
        <w:t>Review the built-in roles and permissions (document 04) and adjust them if needed</w:t>
      </w:r>
    </w:p>
    <w:p>
      <w:pPr>
        <w:tabs>
          <w:tab w:pos="425" w:val="left"/>
        </w:tabs>
        <w:spacing w:after="60"/>
        <w:ind w:left="425" w:hanging="340"/>
      </w:pPr>
      <w:r>
        <w:rPr>
          <w:sz w:val="24"/>
        </w:rPr>
        <w:t>☐</w:t>
        <w:tab/>
      </w:r>
      <w:r>
        <w:rPr/>
        <w:t xml:space="preserve">Set up email in </w:t>
      </w:r>
      <w:r>
        <w:rPr>
          <w:b/>
        </w:rPr>
        <w:t>Settings → Email</w:t>
      </w:r>
      <w:r>
        <w:rPr/>
        <w:t xml:space="preserve"> and send a test email</w:t>
      </w:r>
    </w:p>
    <w:p>
      <w:pPr>
        <w:tabs>
          <w:tab w:pos="425" w:val="left"/>
        </w:tabs>
        <w:spacing w:after="60"/>
        <w:ind w:left="425" w:hanging="340"/>
      </w:pPr>
      <w:r>
        <w:rPr>
          <w:sz w:val="24"/>
        </w:rPr>
        <w:t>☐</w:t>
        <w:tab/>
      </w:r>
      <w:r>
        <w:rPr/>
        <w:t>Confirm where documents should be stored (local server or cloud storage) and test the connection</w:t>
      </w:r>
    </w:p>
    <w:p>
      <w:pPr>
        <w:tabs>
          <w:tab w:pos="425" w:val="left"/>
        </w:tabs>
        <w:spacing w:after="60"/>
        <w:ind w:left="425" w:hanging="340"/>
      </w:pPr>
      <w:r>
        <w:rPr>
          <w:sz w:val="24"/>
        </w:rPr>
        <w:t>☐</w:t>
        <w:tab/>
      </w:r>
      <w:r>
        <w:rPr/>
        <w:t>Complete the organisational actions in the UK GDPR register (document 09, section 6)</w:t>
      </w:r>
    </w:p>
    <w:p>
      <w:pPr>
        <w:tabs>
          <w:tab w:pos="425" w:val="left"/>
        </w:tabs>
        <w:spacing w:after="60"/>
        <w:ind w:left="425" w:hanging="340"/>
      </w:pPr>
      <w:r>
        <w:rPr>
          <w:sz w:val="24"/>
        </w:rPr>
        <w:t>☐</w:t>
        <w:tab/>
      </w:r>
      <w:r>
        <w:rPr/>
        <w:t>Review the known issues (document 08) and agree which to fix next</w:t>
      </w:r>
    </w:p>
    <w:p>
      <w:pPr>
        <w:tabs>
          <w:tab w:pos="425" w:val="left"/>
        </w:tabs>
        <w:spacing w:after="60"/>
        <w:ind w:left="425" w:hanging="340"/>
      </w:pPr>
      <w:r>
        <w:rPr>
          <w:sz w:val="24"/>
        </w:rPr>
        <w:t>☐</w:t>
        <w:tab/>
      </w:r>
      <w:r>
        <w:rPr/>
        <w:t>Sign off the handover</w:t>
      </w:r>
    </w:p>
    <w:p>
      <w:r>
        <w:rPr>
          <w:b/>
        </w:rPr>
        <w:t>Development team</w:t>
      </w:r>
    </w:p>
    <w:p>
      <w:pPr>
        <w:tabs>
          <w:tab w:pos="425" w:val="left"/>
        </w:tabs>
        <w:spacing w:after="60"/>
        <w:ind w:left="425" w:hanging="340"/>
      </w:pPr>
      <w:r>
        <w:rPr>
          <w:sz w:val="24"/>
        </w:rPr>
        <w:t>☐</w:t>
        <w:tab/>
      </w:r>
      <w:r>
        <w:rPr/>
        <w:t>Deploy the 30 September release and confirm it is live (document 06)</w:t>
      </w:r>
    </w:p>
    <w:p>
      <w:pPr>
        <w:tabs>
          <w:tab w:pos="425" w:val="left"/>
        </w:tabs>
        <w:spacing w:after="60"/>
        <w:ind w:left="425" w:hanging="340"/>
      </w:pPr>
      <w:r>
        <w:rPr>
          <w:sz w:val="24"/>
        </w:rPr>
        <w:t>☐</w:t>
        <w:tab/>
      </w:r>
      <w:r>
        <w:rPr/>
        <w:t>Run a test restore of the latest backup and record the result</w:t>
      </w:r>
    </w:p>
    <w:p>
      <w:pPr>
        <w:tabs>
          <w:tab w:pos="425" w:val="left"/>
        </w:tabs>
        <w:spacing w:after="60"/>
        <w:ind w:left="425" w:hanging="340"/>
      </w:pPr>
      <w:r>
        <w:rPr>
          <w:sz w:val="24"/>
        </w:rPr>
        <w:t>☐</w:t>
        <w:tab/>
      </w:r>
      <w:r>
        <w:rPr/>
        <w:t>Hand over server, GitHub and email or storage provider access to the named owners</w:t>
      </w:r>
    </w:p>
    <w:p>
      <w:pPr>
        <w:tabs>
          <w:tab w:pos="425" w:val="left"/>
        </w:tabs>
        <w:spacing w:after="60"/>
        <w:ind w:left="425" w:hanging="340"/>
      </w:pPr>
      <w:r>
        <w:rPr>
          <w:sz w:val="24"/>
        </w:rPr>
        <w:t>☐</w:t>
        <w:tab/>
      </w:r>
      <w:r>
        <w:rPr/>
        <w:t xml:space="preserve">Rotate the secrets in </w:t>
      </w:r>
      <w:r>
        <w:rPr>
          <w:rFonts w:ascii="Consolas" w:hAnsi="Consolas"/>
          <w:color w:val="5A1227"/>
          <w:sz w:val="19"/>
        </w:rPr>
        <w:t>.env</w:t>
      </w:r>
      <w:r>
        <w:rPr/>
        <w:t xml:space="preserve"> once access has changed hands</w:t>
      </w:r>
    </w:p>
    <w:p>
      <w:pPr>
        <w:tabs>
          <w:tab w:pos="425" w:val="left"/>
        </w:tabs>
        <w:spacing w:after="60"/>
        <w:ind w:left="425" w:hanging="340"/>
      </w:pPr>
      <w:r>
        <w:rPr>
          <w:sz w:val="24"/>
        </w:rPr>
        <w:t>☐</w:t>
        <w:tab/>
      </w:r>
      <w:r>
        <w:rPr/>
        <w:t>Walk the customer's IT contact through documents 05 and 06</w:t>
      </w:r>
    </w:p>
    <w:p>
      <w:pPr>
        <w:pStyle w:val="Heading2"/>
        <w:pBdr>
          <w:bottom w:val="single" w:sz="6" w:space="4" w:color="E8D5DB"/>
        </w:pBdr>
      </w:pPr>
      <w:r>
        <w:rPr/>
        <w:t>8. Open questions</w:t>
      </w:r>
    </w:p>
    <w:p>
      <w:r>
        <w:rPr/>
        <w:t>These need an answer from the customer before the handover can be closed.</w:t>
      </w:r>
    </w:p>
    <w:p>
      <w:pPr>
        <w:pStyle w:val="ListBullet"/>
      </w:pPr>
      <w:r>
        <w:rPr/>
        <w:t>Should a separate test environment be set up, so that testing no longer happens on the live system?</w:t>
      </w:r>
    </w:p>
    <w:p>
      <w:pPr>
        <w:pStyle w:val="ListBullet"/>
      </w:pPr>
      <w:r>
        <w:rPr/>
        <w:t>Who will provide support after handover, with what response times, and how should issues be raised?</w:t>
      </w:r>
    </w:p>
    <w:p>
      <w:pPr>
        <w:pStyle w:val="ListBullet"/>
      </w:pPr>
      <w:r>
        <w:rPr/>
        <w:t>Who will hold administrator access to the server and to the GitHub repository?</w:t>
      </w:r>
    </w:p>
    <w:p>
      <w:pPr>
        <w:pStyle w:val="ListBullet"/>
      </w:pPr>
      <w:r>
        <w:rPr/>
        <w:t>Is multi-factor sign-in required? It is not built yet; document 08 explains the options.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color w:val="6E6E6E"/>
        <w:sz w:val="17"/>
      </w:rPr>
      <w:t>EMHIP · EMHIP Handover Overview</w:t>
    </w:r>
    <w:r>
      <w:rPr>
        <w:color w:val="6E6E6E"/>
        <w:sz w:val="17"/>
      </w:rPr>
      <w:tab/>
      <w:t xml:space="preserve">Page </w:t>
    </w:r>
    <w:r>
      <w:rPr>
        <w:color w:val="6E6E6E"/>
        <w:sz w:val="17"/>
      </w:rPr>
      <w:fldChar w:fldCharType="begin"/>
      <w:instrText xml:space="preserve">PAGE</w:instrText>
      <w:fldChar w:fldCharType="separate"/>
      <w:t>1</w:t>
      <w:fldChar w:fldCharType="end"/>
    </w:r>
    <w:r>
      <w:rPr>
        <w:color w:val="6E6E6E"/>
        <w:sz w:val="17"/>
      </w:rPr>
      <w:t xml:space="preserve"> of </w:t>
    </w:r>
    <w:r>
      <w:rPr>
        <w:color w:val="6E6E6E"/>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i w:val="0"/>
      <w:color w:val="8D1B3D"/>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Calibri" w:hAnsi="Calibri"/>
      <w:b/>
      <w:bCs/>
      <w:i w:val="0"/>
      <w:color w:val="8D1B3D"/>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i w:val="0"/>
      <w:color w:val="8D1B3D"/>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 w:val="0"/>
      <w:iCs/>
      <w:color w:val="5A12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emhip.brainshub.co.uk" TargetMode="External"/><Relationship Id="rId12" Type="http://schemas.openxmlformats.org/officeDocument/2006/relationships/hyperlink" Target="https://claude.ai/code/artifact/dc8ab0bb-d1c8-4f5a-b4fb-aeba84042e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EMHIP Handover Overview</dc:title>
  <dc:subject>Version 1.0 · 30 September 2026 · For: the customer project team and service leads</dc:subject>
  <dc:creator>EMHIP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