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after="140"/>
      </w:pPr>
      <w:r>
        <w:t xml:space="preserve">Azure IL5 · Shared services</w:t>
      </w:r>
    </w:p>
    <w:p>
      <w:pPr>
        <w:pStyle w:val="Heading2"/>
        <w:spacing w:after="140"/>
      </w:pPr>
      <w:r>
        <w:t xml:space="preserve">Release notes</w:t>
      </w:r>
    </w:p>
    <w:p>
      <w:pPr>
        <w:spacing w:after="140"/>
      </w:pPr>
      <w:r>
        <w:t xml:space="preserve">SYNTHETIC DEMONSTRATION ONLY. All services, measurements, decisions, identities and evidence in this package are fictional. Not Microsoft provider data, a DoD approval, an IL5 authorization, a customer entitlement, or operational evidence.</w:t>
      </w:r>
    </w:p>
    <w:p>
      <w:pPr>
        <w:spacing w:after="140"/>
      </w:pPr>
      <w:r>
        <w:t xml:space="preserve">Release 1.2 | Scenario date: 2026-09-15 | Provider-managed shared services</w:t>
      </w:r>
    </w:p>
    <w:p>
      <w:pPr>
        <w:pStyle w:val="Heading2"/>
        <w:spacing w:after="140"/>
      </w:pPr>
      <w:r>
        <w:t xml:space="preserve">Release 1.2 — available baseline scenario</w:t>
      </w:r>
    </w:p>
    <w:p>
      <w:pPr>
        <w:spacing w:after="140"/>
      </w:pPr>
      <w:r>
        <w:t xml:space="preserve">Effective scenario date: 2026-09-01. 8 capabilities. All documents are readable and unencrypted. Availability is a scripted demo state that must be established through review and publication in the application; these files do not publish it.</w:t>
      </w:r>
    </w:p>
    <w:p>
      <w:pPr>
        <w:pStyle w:val="Heading2"/>
        <w:spacing w:after="140"/>
      </w:pPr>
      <w:r>
        <w:t xml:space="preserve">Release 1.3 — proposed; two updates</w:t>
      </w:r>
    </w:p>
    <w:p>
      <w:pPr>
        <w:spacing w:after="140"/>
      </w:pPr>
      <w:r>
        <w:t xml:space="preserve">1. Audit collection: adds explicit 18-hour delivery-age alerting and a secondary export attempt, retaining the same event scope, controls and component identity. Finding closure still requires the 14-day validation run.</w:t>
      </w:r>
    </w:p>
    <w:p>
      <w:pPr>
        <w:spacing w:after="140"/>
      </w:pPr>
      <w:r>
        <w:t xml:space="preserve">2. Backup and recovery: clarifies quarterly restore evidence must include dependency ordering and a customer witness acknowledgment; the 24-hour RPO and eight-hour RTO remain unchanged.</w:t>
      </w:r>
    </w:p>
    <w:p>
      <w:pPr>
        <w:spacing w:after="140"/>
      </w:pPr>
      <w:r>
        <w:t xml:space="preserve">No new capability, control, component, entitlement or authorization is introduced. Baseline 1.2 remains available until reviewed 1.3 is explicitly published. Customer adoption is a separate decision; do not silently advance existing consumers.</w:t>
      </w:r>
    </w:p>
    <w:p>
      <w:pPr>
        <w:spacing w:after="140"/>
      </w:pPr>
      <w:r>
        <w:t xml:space="preserve">The proposed JSON differs in exactly two capability descriptions. Stable source IDs and the unchanged reference date allow a reviewable comparison.</w:t>
      </w:r>
    </w:p>
    <w:sectPr>
      <w:footerReference w:type="default" r:id="rId2"/>
      <w:pgSz w:w="12240" w:h="15840"/>
      <w:pgMar w:top="900" w:right="1000" w:bottom="1000" w:left="1000" w:header="400" w:footer="500"/>
    </w:sectPr>
  </w:body>
</w:document>
</file>

<file path=word/footer1.xml><?xml version="1.0" encoding="utf-8"?>
<w:ftr xmlns:w="http://schemas.openxmlformats.org/wordprocessingml/2006/main">
  <w:p>
    <w:r>
      <w:rPr>
        <w:sz w:val="16"/>
        <w:color w:val="9B3737"/>
      </w:rPr>
      <w:t>SYNTHETIC DEMONSTRATION ONLY | Fictional provider review package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4364B"/>
      </w:rPr>
    </w:rPrDefault>
  </w:docDefaults>
  <w:style w:type="paragraph" w:styleId="Heading1">
    <w:name w:val="heading 1"/>
    <w:pPr>
      <w:keepNext/>
      <w:spacing w:before="240"/>
    </w:pPr>
    <w:rPr>
      <w:b/>
      <w:sz w:val="36"/>
      <w:color w:val="17365D"/>
    </w:rPr>
  </w:style>
  <w:style w:type="paragraph" w:styleId="Heading2">
    <w:name w:val="heading 2"/>
    <w:pPr>
      <w:keepNext/>
      <w:spacing w:before="180"/>
    </w:pPr>
    <w:rPr>
      <w:b/>
      <w:sz w:val="27"/>
      <w:color w:val="007D8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