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  <w:spacing w:after="140"/>
      </w:pPr>
      <w:r>
        <w:t xml:space="preserve">Azure IL5 · Shared services</w:t>
      </w:r>
    </w:p>
    <w:p>
      <w:pPr>
        <w:pStyle w:val="Heading2"/>
        <w:spacing w:after="140"/>
      </w:pPr>
      <w:r>
        <w:t xml:space="preserve">Customer-facing assessment summary — approved for demo distribution</w:t>
      </w:r>
    </w:p>
    <w:p>
      <w:pPr>
        <w:spacing w:after="140"/>
      </w:pPr>
      <w:r>
        <w:t xml:space="preserve">SYNTHETIC DEMONSTRATION ONLY. All services, measurements, decisions, identities and evidence in this package are fictional. Not Microsoft provider data, a DoD approval, an IL5 authorization, a customer entitlement, or operational evidence.</w:t>
      </w:r>
    </w:p>
    <w:p>
      <w:pPr>
        <w:spacing w:after="140"/>
      </w:pPr>
      <w:r>
        <w:t xml:space="preserve">Release 1.2 | Scenario date: 2026-09-15 | Provider-managed shared services</w:t>
      </w:r>
    </w:p>
    <w:p>
      <w:pPr>
        <w:pStyle w:val="Heading2"/>
        <w:spacing w:after="140"/>
      </w:pPr>
      <w:r>
        <w:t xml:space="preserve">Distribution decision</w:t>
      </w:r>
    </w:p>
    <w:p>
      <w:pPr>
        <w:spacing w:after="140"/>
      </w:pPr>
      <w:r>
        <w:t xml:space="preserve">SYNTHETIC Northstar Shared Services Demo Team Review Board approved this redacted summary on 2026-09-01 for demonstration distribution only. No real independent assessment or provider attestation is represented.</w:t>
      </w:r>
    </w:p>
    <w:p>
      <w:pPr>
        <w:pStyle w:val="Heading2"/>
        <w:spacing w:after="140"/>
      </w:pPr>
      <w:r>
        <w:t xml:space="preserve">Method and sampling limits</w:t>
      </w:r>
    </w:p>
    <w:p>
      <w:pPr>
        <w:spacing w:after="140"/>
      </w:pPr>
      <w:r>
        <w:t xml:space="preserve">The fictional assurance cell examined a constructed seven-day record set, walked through operator/customer duties, and reviewed one configuration and one handoff example per capability. No live environment, customer information, connector or cloud account was accessed. Control IDs describe intended coverage only; samples do not prove operating effectiveness.</w:t>
      </w:r>
    </w:p>
    <w:p>
      <w:pPr>
        <w:pStyle w:val="Heading2"/>
        <w:spacing w:after="140"/>
      </w:pPr>
      <w:r>
        <w:t xml:space="preserve">Scope examined</w:t>
      </w:r>
    </w:p>
    <w:p>
      <w:pPr>
        <w:spacing w:after="140"/>
      </w:pPr>
      <w:r>
        <w:t xml:space="preserve">Only the eight listed provider-operated shared services; no mission workloads or SaaS collaboration tenant.</w:t>
      </w:r>
    </w:p>
    <w:p>
      <w:pPr>
        <w:pStyle w:val="Heading2"/>
        <w:spacing w:after="140"/>
      </w:pPr>
      <w:r>
        <w:t xml:space="preserve">Open moderate finding: AZ-F-001</w:t>
      </w:r>
    </w:p>
    <w:p>
      <w:pPr>
        <w:spacing w:after="140"/>
      </w:pPr>
      <w:r>
        <w:t xml:space="preserve">In the fictional 2026-08-18 through 2026-08-24 seven-day sample, two of seven daily customer evidence bundles arrived 31 and 38 hours after period close against a 24-hour target. All 700 expected synthetic events remained present in the source ledger; no event loss was observed in this invented sample. A single daily export worker and missing delivery-age alert delayed the handoff. The sample does not establish production effectiveness.</w:t>
      </w:r>
    </w:p>
    <w:p>
      <w:pPr>
        <w:spacing w:after="140"/>
      </w:pPr>
      <w:r>
        <w:t xml:space="preserve">Customer impact: reviewers may not receive timely evidence for daily investigation. Source event availability and customer-side audit review remain separate obligations.</w:t>
      </w:r>
    </w:p>
    <w:p>
      <w:pPr>
        <w:spacing w:after="140"/>
      </w:pPr>
      <w:r>
        <w:t xml:space="preserve">Interim action: the fictional evidence lead reviews delivery age each business day and notifies the customer of overdue bundles. This is an interim check, not closure.</w:t>
      </w:r>
    </w:p>
    <w:p>
      <w:pPr>
        <w:pStyle w:val="Heading2"/>
        <w:spacing w:after="140"/>
      </w:pPr>
      <w:r>
        <w:t xml:space="preserve">Corrective plan</w:t>
      </w:r>
    </w:p>
    <w:p>
      <w:pPr>
        <w:spacing w:after="140"/>
      </w:pPr>
      <w:r>
        <w:t xml:space="preserve">2026-09-18: review export and retry design. 2026-09-25: exercise replay and the 18-hour age alert. 2026-10-09: assess a 14-day validation run against the 24-hour delivery target. All dates are planned in the scenario; none asserts work completed.</w:t>
      </w:r>
    </w:p>
    <w:p>
      <w:pPr>
        <w:spacing w:after="140"/>
      </w:pPr>
      <w:r>
        <w:t xml:space="preserve">Closure requires a complete timestamped ledger, failed-delivery replay, alert test and independent synthetic reviewer sign-off. Residual risk remains open. Release availability does not mean every finding is closed.</w:t>
      </w:r>
    </w:p>
    <w:p>
      <w:pPr>
        <w:pStyle w:val="Heading2"/>
        <w:spacing w:after="140"/>
      </w:pPr>
      <w:r>
        <w:t xml:space="preserve">Distribution exclusions</w:t>
      </w:r>
    </w:p>
    <w:p>
      <w:pPr>
        <w:spacing w:after="140"/>
      </w:pPr>
      <w:r>
        <w:t xml:space="preserve">The PRIVATE working paper contains row-level invented timestamps and reviewer notes. It is not approved for customer distribution; no genuine sensitive or personal information is present.</w:t>
      </w:r>
    </w:p>
    <w:sectPr>
      <w:footerReference w:type="default" r:id="rId2"/>
      <w:pgSz w:w="12240" w:h="15840"/>
      <w:pgMar w:top="900" w:right="1000" w:bottom="1000" w:left="1000" w:header="400" w:footer="500"/>
    </w:sectPr>
  </w:body>
</w:document>
</file>

<file path=word/footer1.xml><?xml version="1.0" encoding="utf-8"?>
<w:ftr xmlns:w="http://schemas.openxmlformats.org/wordprocessingml/2006/main">
  <w:p>
    <w:r>
      <w:rPr>
        <w:sz w:val="16"/>
        <w:color w:val="9B3737"/>
      </w:rPr>
      <w:t>SYNTHETIC DEMONSTRATION ONLY | Fictional provider review package</w:t>
    </w:r>
  </w:p>
</w:ftr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  <w:color w:val="24364B"/>
      </w:rPr>
    </w:rPrDefault>
  </w:docDefaults>
  <w:style w:type="paragraph" w:styleId="Heading1">
    <w:name w:val="heading 1"/>
    <w:pPr>
      <w:keepNext/>
      <w:spacing w:before="240"/>
    </w:pPr>
    <w:rPr>
      <w:b/>
      <w:sz w:val="36"/>
      <w:color w:val="17365D"/>
    </w:rPr>
  </w:style>
  <w:style w:type="paragraph" w:styleId="Heading2">
    <w:name w:val="heading 2"/>
    <w:pPr>
      <w:keepNext/>
      <w:spacing w:before="180"/>
    </w:pPr>
    <w:rPr>
      <w:b/>
      <w:sz w:val="27"/>
      <w:color w:val="007D8A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/Relationships>
</file>