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Azure IL5 · Shared services</w:t>
      </w:r>
    </w:p>
    <w:p>
      <w:pPr>
        <w:pStyle w:val="Heading2"/>
        <w:spacing w:after="140"/>
      </w:pPr>
      <w:r>
        <w:t xml:space="preserve">Synthetic decision and reference record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1.2 | Scenario date: 2026-09-15 | Provider-managed shared services</w:t>
      </w:r>
    </w:p>
    <w:p>
      <w:pPr>
        <w:pStyle w:val="Heading2"/>
        <w:spacing w:after="140"/>
      </w:pPr>
      <w:r>
        <w:t xml:space="preserve">Source identification</w:t>
      </w:r>
    </w:p>
    <w:p>
      <w:pPr>
        <w:spacing w:after="140"/>
      </w:pPr>
      <w:r>
        <w:t xml:space="preserve">Source title: Azure IL5 · Shared services Fictional Service Release Review.</w:t>
      </w:r>
    </w:p>
    <w:p>
      <w:pPr>
        <w:spacing w:after="140"/>
      </w:pPr>
      <w:r>
        <w:t xml:space="preserve">Issuer: SYNTHETIC Northstar Shared Services Demo Team Review Board.</w:t>
      </w:r>
    </w:p>
    <w:p>
      <w:pPr>
        <w:spacing w:after="140"/>
      </w:pPr>
      <w:r>
        <w:t xml:space="preserve">Type: invented demonstration distribution decision and reference; NOT an ATO, P-ATO, accreditation, or DoD memo.</w:t>
      </w:r>
    </w:p>
    <w:p>
      <w:pPr>
        <w:spacing w:after="140"/>
      </w:pPr>
      <w:r>
        <w:t xml:space="preserve">Reference ID: AZ-REF-001.</w:t>
      </w:r>
    </w:p>
    <w:p>
      <w:pPr>
        <w:spacing w:after="140"/>
      </w:pPr>
      <w:r>
        <w:t xml:space="preserve">Issued: 2026-09-01. Scenario expiration: 2027-08-31. Scenario review: 2026-12-01.</w:t>
      </w:r>
    </w:p>
    <w:p>
      <w:pPr>
        <w:spacing w:after="140"/>
      </w:pPr>
      <w:r>
        <w:t xml:space="preserve">Status as stated: Approved. Decision type: fictional demonstration distribution approval; NOT ATO. Approved ONLY for fictional customer demonstration by the synthetic review board. No real signature or official seal exists.</w:t>
      </w:r>
    </w:p>
    <w:p>
      <w:pPr>
        <w:pStyle w:val="Heading2"/>
        <w:spacing w:after="140"/>
      </w:pPr>
      <w:r>
        <w:t xml:space="preserve">Scope and exclusions</w:t>
      </w:r>
    </w:p>
    <w:p>
      <w:pPr>
        <w:spacing w:after="140"/>
      </w:pPr>
      <w:r>
        <w:t xml:space="preserve">Only the eight listed provider-operated shared services; no mission workloads or SaaS collaboration tenant.</w:t>
      </w:r>
    </w:p>
    <w:p>
      <w:pPr>
        <w:spacing w:after="140"/>
      </w:pPr>
      <w:r>
        <w:t xml:space="preserve">Excluded: Customer application code, databases, mission data, workstation configuration, customer subscriptions not explicitly enrolled, Microsoft 365, and any actual IL5 approval.</w:t>
      </w:r>
    </w:p>
    <w:p>
      <w:pPr>
        <w:pStyle w:val="Heading2"/>
        <w:spacing w:after="140"/>
      </w:pPr>
      <w:r>
        <w:t xml:space="preserve">Conditions</w:t>
      </w:r>
    </w:p>
    <w:p>
      <w:pPr>
        <w:spacing w:after="140"/>
      </w:pPr>
      <w:r>
        <w:t xml:space="preserve">- Customer must complete its own authorization and allocation checks.</w:t>
      </w:r>
    </w:p>
    <w:p>
      <w:pPr>
        <w:spacing w:after="140"/>
      </w:pPr>
      <w:r>
        <w:t xml:space="preserve">- Retain the open moderate logging evidence-delay finding and corrective milestones.</w:t>
      </w:r>
    </w:p>
    <w:p>
      <w:pPr>
        <w:spacing w:after="140"/>
      </w:pPr>
      <w:r>
        <w:t xml:space="preserve">- PRIVATE working papers are not cleared for customer distribution.</w:t>
      </w:r>
    </w:p>
    <w:p>
      <w:pPr>
        <w:pStyle w:val="Heading2"/>
        <w:spacing w:after="140"/>
      </w:pPr>
      <w:r>
        <w:t xml:space="preserve">Evidence basis</w:t>
      </w:r>
    </w:p>
    <w:p>
      <w:pPr>
        <w:spacing w:after="140"/>
      </w:pPr>
      <w:r>
        <w:t xml:space="preserve">The reference cites the customer assessment summary, responsibility matrix and synthetic evidence index. Underlying samples are constructed examples, not observed provider operations.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