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40"/>
      </w:pPr>
      <w:r>
        <w:t xml:space="preserve">Microsoft 365 · Collaboration</w:t>
      </w:r>
    </w:p>
    <w:p>
      <w:pPr>
        <w:pStyle w:val="Heading2"/>
        <w:spacing w:after="140"/>
      </w:pPr>
      <w:r>
        <w:t xml:space="preserve">Release notes</w:t>
      </w:r>
    </w:p>
    <w:p>
      <w:pPr>
        <w:spacing w:after="140"/>
      </w:pPr>
      <w:r>
        <w:t xml:space="preserve">SYNTHETIC DEMONSTRATION ONLY. All services, measurements, decisions, identities and evidence in this package are fictional. Not Microsoft provider data, a DoD approval, an IL5 authorization, a customer entitlement, or operational evidence.</w:t>
      </w:r>
    </w:p>
    <w:p>
      <w:pPr>
        <w:spacing w:after="140"/>
      </w:pPr>
      <w:r>
        <w:t xml:space="preserve">Release 1.0 | Scenario date: 2026-09-15 | SaaS collaboration</w:t>
      </w:r>
    </w:p>
    <w:p>
      <w:pPr>
        <w:pStyle w:val="Heading2"/>
        <w:spacing w:after="140"/>
      </w:pPr>
      <w:r>
        <w:t xml:space="preserve">Release 1.0 — available baseline scenario</w:t>
      </w:r>
    </w:p>
    <w:p>
      <w:pPr>
        <w:spacing w:after="140"/>
      </w:pPr>
      <w:r>
        <w:t xml:space="preserve">Effective scenario date: 2026-09-01. 5 capabilities. All documents are readable and unencrypted. Availability is a scripted demo state that must be established through review and publication in the application; these files do not publish it.</w:t>
      </w:r>
    </w:p>
    <w:p>
      <w:pPr>
        <w:pStyle w:val="Heading2"/>
        <w:spacing w:after="140"/>
      </w:pPr>
      <w:r>
        <w:t xml:space="preserve">Release 1.0 initial scope</w:t>
      </w:r>
    </w:p>
    <w:p>
      <w:pPr>
        <w:spacing w:after="140"/>
      </w:pPr>
      <w:r>
        <w:t xml:space="preserve">Introduces Exchange, Teams, SharePoint/OneDrive, Purview and tenant access safeguards. This is an independent SaaS release, not Azure 1.2 or 1.3. No Azure resource allocation conveys a collaboration license. The open moderate Purview evidence handoff finding is carried forward with the stated corrective plan.</w:t>
      </w:r>
    </w:p>
    <w:sectPr>
      <w:footerReference w:type="default" r:id="rId2"/>
      <w:pgSz w:w="12240" w:h="15840"/>
      <w:pgMar w:top="900" w:right="1000" w:bottom="1000" w:left="1000" w:header="400" w:footer="500"/>
    </w:sectPr>
  </w:body>
</w:document>
</file>

<file path=word/footer1.xml><?xml version="1.0" encoding="utf-8"?>
<w:ftr xmlns:w="http://schemas.openxmlformats.org/wordprocessingml/2006/main">
  <w:p>
    <w:r>
      <w:rPr>
        <w:sz w:val="16"/>
        <w:color w:val="9B3737"/>
      </w:rPr>
      <w:t>SYNTHETIC DEMONSTRATION ONLY | Fictional provider review package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4364B"/>
      </w:rPr>
    </w:rPrDefault>
  </w:docDefaults>
  <w:style w:type="paragraph" w:styleId="Heading1">
    <w:name w:val="heading 1"/>
    <w:pPr>
      <w:keepNext/>
      <w:spacing w:before="240"/>
    </w:pPr>
    <w:rPr>
      <w:b/>
      <w:sz w:val="36"/>
      <w:color w:val="17365D"/>
    </w:rPr>
  </w:style>
  <w:style w:type="paragraph" w:styleId="Heading2">
    <w:name w:val="heading 2"/>
    <w:pPr>
      <w:keepNext/>
      <w:spacing w:before="180"/>
    </w:pPr>
    <w:rPr>
      <w:b/>
      <w:sz w:val="27"/>
      <w:color w:val="007D8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