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hAnsi="Times New Roman"/>
          <w:b/>
          <w:sz w:val="32"/>
        </w:rPr>
        <w:t>DOKUMEN CD-2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8"/>
          <w:szCs w:val="28"/>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drawing>
          <wp:inline distB="0" distT="0" distL="0" distR="0">
            <wp:extent cx="3220720" cy="1075690"/>
            <wp:effectExtent b="0" l="0" r="0" t="0"/>
            <wp:docPr descr="A picture containing text, clipart, tableware, plate&#10;&#10;Description automatically generated" id="2" name="image2.png"/>
            <a:graphic>
              <a:graphicData uri="http://schemas.openxmlformats.org/drawingml/2006/picture">
                <pic:pic>
                  <pic:nvPicPr>
                    <pic:cNvPr descr="A picture containing text, clipart, tableware, plate&#10;&#10;Description automatically generated" id="0" name="image2.png"/>
                    <pic:cNvPicPr preferRelativeResize="0"/>
                  </pic:nvPicPr>
                  <pic:blipFill>
                    <a:blip r:embed="rId6"/>
                    <a:srcRect b="0" l="0" r="0" t="0"/>
                    <a:stretch>
                      <a:fillRect/>
                    </a:stretch>
                  </pic:blipFill>
                  <pic:spPr>
                    <a:xfrm>
                      <a:off x="0" y="0"/>
                      <a:ext cx="3220720" cy="107569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b w:val="1"/>
          <w:bCs w:val="1"/>
          <w:sz w:val="32"/>
          <w:szCs w:val="32"/>
        </w:rPr>
      </w:pPr>
      <w:r>
        <w:rPr>
          <w:rFonts w:ascii="Times New Roman" w:hAnsi="Times New Roman"/>
          <w:b/>
          <w:sz w:val="28"/>
        </w:rPr>
        <w:t>ANALISIS PERMASALAHAN PENYIRAMAN MANUAL PADA KEBUN JERUK LIMAU DI CIBERES SUBANG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right="-8"/>
        <w:jc w:val="center"/>
        <w:rPr/>
      </w:pPr>
      <w:r>
        <w:rPr>
          <w:rFonts w:ascii="Times New Roman" w:hAnsi="Times New Roman"/>
          <w:sz w:val="24"/>
        </w:rPr>
        <w:t>Oleh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right="-8"/>
        <w:jc w:val="center"/>
        <w:rPr>
          <w:b w:val="1"/>
          <w:bCs w:val="1"/>
          <w:color w:val="000000"/>
        </w:rPr>
      </w:pPr>
      <w:r>
        <w:rPr>
          <w:rFonts w:ascii="Times New Roman" w:hAnsi="Times New Roman"/>
          <w:sz w:val="24"/>
        </w:rPr>
        <w:t>Muhammad Al Qarnie / 101032330043</w:t>
      </w:r>
    </w:p>
    <w:p w:rsidR="00000000" w:rsidDel="00000000" w:rsidP="00000000" w:rsidRDefault="00000000" w:rsidRPr="00000000" w14:paraId="00000015">
      <w:pPr>
        <w:ind w:right="-8"/>
        <w:jc w:val="center"/>
        <w:rPr>
          <w:b w:val="1"/>
          <w:bCs w:val="1"/>
          <w:color w:val="000000"/>
        </w:rPr>
      </w:pPr>
      <w:r>
        <w:rPr>
          <w:rFonts w:ascii="Times New Roman" w:hAnsi="Times New Roman"/>
          <w:sz w:val="24"/>
        </w:rPr>
        <w:t>Maheswara Ariq Athallah / 101032300050</w:t>
      </w:r>
    </w:p>
    <w:p w:rsidR="00000000" w:rsidDel="00000000" w:rsidP="00000000" w:rsidRDefault="00000000" w:rsidRPr="00000000" w14:paraId="00000016">
      <w:pPr>
        <w:ind w:right="-8"/>
        <w:jc w:val="center"/>
        <w:rPr>
          <w:b w:val="1"/>
          <w:bCs w:val="1"/>
          <w:color w:val="000000"/>
        </w:rPr>
      </w:pPr>
      <w:r>
        <w:rPr>
          <w:rFonts w:ascii="Times New Roman" w:hAnsi="Times New Roman"/>
          <w:sz w:val="24"/>
        </w:rPr>
        <w:t>Daffa Hermansyah / 101032330090</w:t>
      </w:r>
    </w:p>
    <w:p w:rsidR="00000000" w:rsidDel="00000000" w:rsidP="00000000" w:rsidRDefault="00000000" w:rsidRPr="00000000" w14:paraId="00000017">
      <w:pPr>
        <w:ind w:right="-8"/>
        <w:jc w:val="center"/>
        <w:rPr/>
      </w:pPr>
      <w:r w:rsidDel="00000000" w:rsidR="00000000" w:rsidRPr="00000000">
        <w:rPr>
          <w:rtl w:val="0"/>
        </w:rPr>
      </w:r>
    </w:p>
    <w:p w:rsidR="00000000" w:rsidDel="00000000" w:rsidP="00000000" w:rsidRDefault="00000000" w:rsidRPr="00000000" w14:paraId="00000018">
      <w:pPr>
        <w:ind w:right="-8"/>
        <w:jc w:val="center"/>
        <w:rPr/>
      </w:pPr>
      <w:r w:rsidDel="00000000" w:rsidR="00000000" w:rsidRPr="00000000">
        <w:rPr>
          <w:rtl w:val="0"/>
        </w:rPr>
      </w:r>
    </w:p>
    <w:p w:rsidR="00000000" w:rsidDel="00000000" w:rsidP="00000000" w:rsidRDefault="00000000" w:rsidRPr="00000000" w14:paraId="00000019">
      <w:pPr>
        <w:ind w:right="-8"/>
        <w:jc w:val="center"/>
        <w:rPr/>
      </w:pPr>
      <w:r w:rsidDel="00000000" w:rsidR="00000000" w:rsidRPr="00000000">
        <w:rPr>
          <w:rtl w:val="0"/>
        </w:rPr>
      </w:r>
    </w:p>
    <w:p w:rsidR="00000000" w:rsidDel="00000000" w:rsidP="00000000" w:rsidRDefault="00000000" w:rsidRPr="00000000" w14:paraId="0000001A">
      <w:pPr>
        <w:jc w:val="right"/>
        <w:rPr>
          <w:u w:val="single"/>
        </w:rPr>
      </w:pPr>
      <w:r w:rsidDel="00000000" w:rsidR="00000000" w:rsidRPr="00000000">
        <w:rPr>
          <w:rtl w:val="0"/>
        </w:rPr>
      </w:r>
    </w:p>
    <w:p w:rsidR="00000000" w:rsidDel="00000000" w:rsidP="00000000" w:rsidRDefault="00000000" w:rsidRPr="00000000" w14:paraId="0000001B">
      <w:pPr>
        <w:jc w:val="right"/>
        <w:rPr>
          <w:u w:val="single"/>
        </w:rPr>
      </w:pPr>
      <w:r w:rsidDel="00000000" w:rsidR="00000000" w:rsidRPr="00000000">
        <w:rPr>
          <w:rtl w:val="0"/>
        </w:rPr>
      </w:r>
    </w:p>
    <w:p w:rsidR="00000000" w:rsidDel="00000000" w:rsidP="00000000" w:rsidRDefault="00000000" w:rsidRPr="00000000" w14:paraId="0000001C">
      <w:pPr>
        <w:jc w:val="right"/>
        <w:rPr>
          <w:u w:val="single"/>
        </w:rPr>
      </w:pPr>
      <w:r w:rsidDel="00000000" w:rsidR="00000000" w:rsidRPr="00000000">
        <w:rPr>
          <w:rtl w:val="0"/>
        </w:rPr>
      </w:r>
    </w:p>
    <w:p w:rsidR="00000000" w:rsidDel="00000000" w:rsidP="00000000" w:rsidRDefault="00000000" w:rsidRPr="00000000" w14:paraId="0000001D">
      <w:pPr>
        <w:jc w:val="right"/>
        <w:rPr>
          <w:u w:val="single"/>
        </w:rPr>
      </w:pPr>
      <w:r w:rsidDel="00000000" w:rsidR="00000000" w:rsidRPr="00000000">
        <w:rPr>
          <w:rtl w:val="0"/>
        </w:rPr>
      </w:r>
    </w:p>
    <w:p w:rsidR="00000000" w:rsidDel="00000000" w:rsidP="00000000" w:rsidRDefault="00000000" w:rsidRPr="00000000" w14:paraId="0000001E">
      <w:pPr>
        <w:jc w:val="right"/>
        <w:rPr>
          <w:u w:val="single"/>
        </w:rPr>
      </w:pPr>
      <w:r w:rsidDel="00000000" w:rsidR="00000000" w:rsidRPr="00000000">
        <w:rPr>
          <w:rtl w:val="0"/>
        </w:rPr>
      </w:r>
    </w:p>
    <w:p w:rsidR="00000000" w:rsidDel="00000000" w:rsidP="00000000" w:rsidRDefault="00000000" w:rsidRPr="00000000" w14:paraId="0000001F">
      <w:pPr>
        <w:jc w:val="right"/>
        <w:rPr>
          <w:u w:val="single"/>
        </w:rPr>
      </w:pPr>
      <w:r w:rsidDel="00000000" w:rsidR="00000000" w:rsidRPr="00000000">
        <w:rPr>
          <w:rtl w:val="0"/>
        </w:rPr>
      </w:r>
    </w:p>
    <w:p w:rsidR="00000000" w:rsidDel="00000000" w:rsidP="00000000" w:rsidRDefault="00000000" w:rsidRPr="00000000" w14:paraId="00000020">
      <w:pPr>
        <w:ind w:right="24" w:hanging="5"/>
        <w:jc w:val="center"/>
        <w:rPr>
          <w:b w:val="1"/>
          <w:bCs w:val="1"/>
          <w:sz w:val="28"/>
          <w:szCs w:val="28"/>
        </w:rPr>
      </w:pPr>
      <w:r>
        <w:rPr>
          <w:rFonts w:ascii="Times New Roman" w:hAnsi="Times New Roman"/>
          <w:b/>
          <w:sz w:val="28"/>
        </w:rPr>
        <w:t>PRODI S1 TEKNIK KOMPUTER</w:t>
      </w:r>
    </w:p>
    <w:p w:rsidR="00000000" w:rsidDel="00000000" w:rsidP="00000000" w:rsidRDefault="00000000" w:rsidRPr="00000000" w14:paraId="00000021">
      <w:pPr>
        <w:ind w:right="24" w:hanging="5"/>
        <w:jc w:val="center"/>
        <w:rPr>
          <w:b w:val="1"/>
          <w:bCs w:val="1"/>
          <w:sz w:val="28"/>
          <w:szCs w:val="28"/>
        </w:rPr>
      </w:pPr>
      <w:r>
        <w:rPr>
          <w:rFonts w:ascii="Times New Roman" w:hAnsi="Times New Roman"/>
          <w:b/>
          <w:sz w:val="28"/>
        </w:rPr>
        <w:t>FAKULTAS TEKNIK ELEKTRO</w:t>
      </w:r>
    </w:p>
    <w:p w:rsidR="00000000" w:rsidDel="00000000" w:rsidP="00000000" w:rsidRDefault="00000000" w:rsidRPr="00000000" w14:paraId="00000022">
      <w:pPr>
        <w:ind w:right="24" w:hanging="5"/>
        <w:jc w:val="center"/>
        <w:rPr>
          <w:b w:val="1"/>
          <w:bCs w:val="1"/>
          <w:sz w:val="28"/>
          <w:szCs w:val="28"/>
        </w:rPr>
      </w:pPr>
      <w:r>
        <w:rPr>
          <w:rFonts w:ascii="Times New Roman" w:hAnsi="Times New Roman"/>
          <w:b/>
          <w:sz w:val="28"/>
        </w:rPr>
        <w:t>UNIVERSITAS TELKOM</w:t>
      </w:r>
    </w:p>
    <w:p w:rsidR="00000000" w:rsidDel="00000000" w:rsidP="00000000" w:rsidRDefault="00000000" w:rsidRPr="00000000" w14:paraId="00000023">
      <w:pPr>
        <w:ind w:right="24" w:hanging="5"/>
        <w:jc w:val="center"/>
        <w:rPr>
          <w:b w:val="1"/>
          <w:bCs w:val="1"/>
          <w:sz w:val="28"/>
          <w:szCs w:val="28"/>
        </w:rPr>
      </w:pPr>
      <w:r>
        <w:rPr>
          <w:rFonts w:ascii="Times New Roman" w:hAnsi="Times New Roman"/>
          <w:b/>
          <w:sz w:val="28"/>
        </w:rPr>
        <w:t>BANDUNG</w:t>
      </w:r>
    </w:p>
    <w:p w:rsidR="00000000" w:rsidDel="00000000" w:rsidP="00000000" w:rsidRDefault="00000000" w:rsidRPr="00000000" w14:paraId="00000024">
      <w:pPr>
        <w:ind w:right="24" w:hanging="5"/>
        <w:jc w:val="center"/>
        <w:rPr>
          <w:b w:val="1"/>
          <w:bCs w:val="1"/>
          <w:sz w:val="28"/>
          <w:szCs w:val="28"/>
        </w:rPr>
        <w:sectPr>
          <w:headerReference r:id="rId7" w:type="default"/>
          <w:footerReference r:id="rId8" w:type="default"/>
          <w:pgSz w:h="16838" w:w="11906" w:orient="portrait"/>
          <w:pgMar w:bottom="1440" w:top="1440" w:left="1440" w:right="1440" w:header="708" w:footer="708"/>
          <w:pgNumType w:start="1"/>
          <w:titlePg w:val="1"/>
        </w:sectPr>
      </w:pPr>
      <w:r>
        <w:rPr>
          <w:rFonts w:ascii="Times New Roman" w:hAnsi="Times New Roman"/>
          <w:b/>
          <w:sz w:val="28"/>
        </w:rPr>
        <w:t>2026</w:t>
      </w:r>
    </w:p>
    <w:p w:rsidR="00000000" w:rsidDel="00000000" w:rsidP="00000000" w:rsidRDefault="00000000" w:rsidRPr="00000000" w14:paraId="00000025">
      <w:pPr>
        <w:spacing w:line="360" w:lineRule="auto"/>
        <w:jc w:val="center"/>
        <w:rPr>
          <w:b w:val="1"/>
          <w:bCs w:val="1"/>
          <w:color w:val="000000"/>
          <w:sz w:val="28"/>
          <w:szCs w:val="28"/>
        </w:rPr>
      </w:pPr>
      <w:bookmarkStart w:colFirst="0" w:colLast="0" w:name="_6afd48wl2f19" w:id="0"/>
      <w:bookmarkEnd w:id="0"/>
      <w:r w:rsidDel="00000000" w:rsidR="00000000" w:rsidRPr="00000000">
        <w:rPr>
          <w:b w:val="1"/>
          <w:bCs w:val="1"/>
          <w:color w:val="000000"/>
          <w:sz w:val="28"/>
          <w:szCs w:val="28"/>
          <w:rtl w:val="0"/>
        </w:rPr>
        <w:t xml:space="preserve">Lembar Pengesahan Dokumen</w:t>
      </w:r>
    </w:p>
    <w:p w:rsidR="00000000" w:rsidDel="00000000" w:rsidP="00000000" w:rsidRDefault="00000000" w:rsidRPr="00000000" w14:paraId="00000026">
      <w:pPr>
        <w:spacing w:line="360" w:lineRule="auto"/>
        <w:jc w:val="center"/>
        <w:rPr>
          <w:b w:val="1"/>
          <w:bCs w:val="1"/>
          <w:color w:val="000000"/>
          <w:sz w:val="28"/>
          <w:szCs w:val="28"/>
        </w:rPr>
      </w:pPr>
      <w:r w:rsidDel="00000000" w:rsidR="00000000" w:rsidRPr="00000000">
        <w:rPr>
          <w:rtl w:val="0"/>
        </w:rPr>
      </w:r>
    </w:p>
    <w:tbl>
      <w:tblPr>
        <w:tblStyle w:val="Table1"/>
        <w:tblW w:w="90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3225"/>
        <w:gridCol w:w="270"/>
        <w:gridCol w:w="5520"/>
        <w:tblGridChange w:id="0">
          <w:tblGrid>
            <w:gridCol w:w="3225"/>
            <w:gridCol w:w="270"/>
            <w:gridCol w:w="5520"/>
          </w:tblGrid>
        </w:tblGridChange>
      </w:tblGrid>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Judul Capstone Design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Analisis Permasalahan Penyiraman Manual pada Kebun Jeruk Limau di Ciberes Subang</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Jenis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Spesifikasi</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FTE-CD-2</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Revisi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00</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Tanggal Pengesahan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29/10/2026</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Fakultas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Fakultas Teknik Elektro</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Program Studi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S1 Teknik Komputer</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Jumlah Halaman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25 halaman</w:t>
            </w:r>
          </w:p>
        </w:tc>
      </w:tr>
    </w:tbl>
    <w:p w:rsidR="00000000" w:rsidDel="00000000" w:rsidP="00000000" w:rsidRDefault="00000000" w:rsidRPr="00000000" w14:paraId="0000003F">
      <w:pPr>
        <w:jc w:val="center"/>
        <w:rPr>
          <w:b w:val="1"/>
          <w:bCs w:val="1"/>
        </w:rPr>
      </w:pPr>
      <w:r w:rsidDel="00000000" w:rsidR="00000000" w:rsidRPr="00000000">
        <w:rPr>
          <w:rtl w:val="0"/>
        </w:rPr>
      </w:r>
    </w:p>
    <w:tbl>
      <w:tblPr>
        <w:tblStyle w:val="Table2"/>
        <w:tblW w:w="9010.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154"/>
        <w:gridCol w:w="1080"/>
        <w:gridCol w:w="2698"/>
        <w:gridCol w:w="1799"/>
        <w:gridCol w:w="2279"/>
        <w:tblGridChange w:id="0">
          <w:tblGrid>
            <w:gridCol w:w="1154"/>
            <w:gridCol w:w="1080"/>
            <w:gridCol w:w="2698"/>
            <w:gridCol w:w="1799"/>
            <w:gridCol w:w="2279"/>
          </w:tblGrid>
        </w:tblGridChange>
      </w:tblGrid>
      <w:tr>
        <w:trPr>
          <w:cantSplit w:val="0"/>
          <w:tblHeader w:val="0"/>
          <w:cantSplit/>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Data Pemeriksaan dan Persetujuan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Ditulis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Muhammad Al Qarnie</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4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4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4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101032330043</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Maheswara Ariq Athallah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5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101032300050</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Daffa Hermansyah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6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6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 101032330090</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6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Disetujui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Dr. Agung Nugroho Jati, S.T., M.T.</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7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1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7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29/10/2026</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2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7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8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8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8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bl>
    <w:p w:rsidR="00000000" w:rsidDel="00000000" w:rsidP="00000000" w:rsidRDefault="00000000" w:rsidRPr="00000000" w14:paraId="00000086">
      <w:pPr>
        <w:jc w:val="center"/>
        <w:rPr>
          <w:b w:val="1"/>
          <w:bCs w:val="1"/>
        </w:rPr>
      </w:pPr>
      <w:r w:rsidDel="00000000" w:rsidR="00000000" w:rsidRPr="00000000">
        <w:rPr>
          <w:rtl w:val="0"/>
        </w:rPr>
      </w:r>
    </w:p>
    <w:p w:rsidR="00000000" w:rsidDel="00000000" w:rsidP="00000000" w:rsidRDefault="00000000" w:rsidRPr="00000000" w14:paraId="00000087">
      <w:pPr>
        <w:ind w:left="119" w:firstLine="0"/>
        <w:jc w:val="center"/>
        <w:rPr>
          <w:b w:val="1"/>
          <w:bCs w:val="1"/>
          <w:sz w:val="22"/>
          <w:szCs w:val="22"/>
          <w:vertAlign w:val="baseline"/>
        </w:rPr>
      </w:pPr>
      <w:r w:rsidDel="00000000" w:rsidR="00000000" w:rsidRPr="00000000">
        <w:rPr>
          <w:rtl w:val="0"/>
        </w:rPr>
      </w:r>
    </w:p>
    <w:p w:rsidR="00000000" w:rsidDel="00000000" w:rsidP="00000000" w:rsidRDefault="00000000" w:rsidRPr="00000000" w14:paraId="00000088">
      <w:pPr>
        <w:spacing w:after="160" w:line="259" w:lineRule="auto"/>
        <w:jc w:val="center"/>
        <w:rPr>
          <w:b w:val="1"/>
          <w:bCs w:val="1"/>
          <w:color w:val="000000"/>
          <w:sz w:val="28"/>
          <w:szCs w:val="28"/>
        </w:rPr>
      </w:pPr>
      <w:r w:rsidDel="00000000" w:rsidR="00000000" w:rsidRPr="00000000">
        <w:br w:type="page"/>
      </w:r>
      <w:r w:rsidDel="00000000" w:rsidR="00000000" w:rsidRPr="00000000">
        <w:rPr>
          <w:b w:val="1"/>
          <w:bCs w:val="1"/>
          <w:color w:val="000000"/>
          <w:sz w:val="28"/>
          <w:szCs w:val="28"/>
          <w:rtl w:val="0"/>
        </w:rPr>
        <w:t xml:space="preserve">Timeline Revisi Dokumen</w:t>
      </w:r>
    </w:p>
    <w:p w:rsidR="00000000" w:rsidDel="00000000" w:rsidP="00000000" w:rsidRDefault="00000000" w:rsidRPr="00000000" w14:paraId="00000089">
      <w:pPr>
        <w:spacing w:after="160" w:line="259" w:lineRule="auto"/>
        <w:jc w:val="center"/>
        <w:rPr>
          <w:b w:val="1"/>
          <w:bCs w:val="1"/>
          <w:color w:val="000000"/>
          <w:sz w:val="28"/>
          <w:szCs w:val="28"/>
        </w:rPr>
      </w:pPr>
      <w:r w:rsidDel="00000000" w:rsidR="00000000" w:rsidRPr="00000000">
        <w:rPr>
          <w:rtl w:val="0"/>
        </w:rPr>
      </w:r>
    </w:p>
    <w:tbl>
      <w:tblPr>
        <w:tblStyle w:val="Table3"/>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2610"/>
        <w:gridCol w:w="3240"/>
        <w:gridCol w:w="1635"/>
        <w:tblGridChange w:id="0">
          <w:tblGrid>
            <w:gridCol w:w="1515"/>
            <w:gridCol w:w="2610"/>
            <w:gridCol w:w="3240"/>
            <w:gridCol w:w="1635"/>
          </w:tblGrid>
        </w:tblGridChange>
      </w:tblGrid>
      <w:tr>
        <w:trPr>
          <w:cantSplit w:val="0"/>
          <w:tblHeader w:val="0"/>
          <w:cantSplit/>
        </w:trPr>
        <w:tc>
          <w:tcPr>
            <w:shd w:fill="auto" w:val="clear"/>
            <w:vAlign w:val="center"/>
          </w:tcPr>
          <w:p w:rsidR="00000000" w:rsidDel="00000000" w:rsidP="00000000" w:rsidRDefault="00000000" w:rsidRPr="00000000" w14:paraId="0000008A">
            <w:pPr>
              <w:spacing w:line="276" w:lineRule="auto" w:after="40"/>
              <w:jc w:val="center"/>
              <w:rPr>
                <w:b w:val="1"/>
                <w:bCs w:val="1"/>
              </w:rPr>
            </w:pPr>
            <w:r w:rsidDel="00000000" w:rsidR="00000000" w:rsidRPr="00000000">
              <w:rPr>
                <w:rFonts w:ascii="Times New Roman" w:hAnsi="Times New Roman"/>
                <w:b w:val="1"/>
                <w:bCs w:val="1"/>
                <w:sz w:val="20"/>
                <w:rtl w:val="0"/>
              </w:rPr>
              <w:t xml:space="preserve">Versi, Tanggal</w:t>
            </w:r>
          </w:p>
        </w:tc>
        <w:tc>
          <w:tcPr>
            <w:shd w:fill="auto" w:val="clear"/>
            <w:vAlign w:val="center"/>
          </w:tcPr>
          <w:p w:rsidR="00000000" w:rsidDel="00000000" w:rsidP="00000000" w:rsidRDefault="00000000" w:rsidRPr="00000000" w14:paraId="0000008B">
            <w:pPr>
              <w:spacing w:line="276" w:lineRule="auto" w:after="40"/>
              <w:jc w:val="center"/>
              <w:rPr>
                <w:b w:val="1"/>
                <w:bCs w:val="1"/>
              </w:rPr>
            </w:pPr>
            <w:r w:rsidDel="00000000" w:rsidR="00000000" w:rsidRPr="00000000">
              <w:rPr>
                <w:rFonts w:ascii="Times New Roman" w:hAnsi="Times New Roman"/>
                <w:b w:val="1"/>
                <w:bCs w:val="1"/>
                <w:sz w:val="20"/>
                <w:rtl w:val="0"/>
              </w:rPr>
              <w:t xml:space="preserve">Revisi</w:t>
            </w:r>
          </w:p>
        </w:tc>
        <w:tc>
          <w:tcPr>
            <w:shd w:fill="auto" w:val="clear"/>
            <w:vAlign w:val="center"/>
          </w:tcPr>
          <w:p w:rsidR="00000000" w:rsidDel="00000000" w:rsidP="00000000" w:rsidRDefault="00000000" w:rsidRPr="00000000" w14:paraId="0000008C">
            <w:pPr>
              <w:spacing w:line="276" w:lineRule="auto" w:after="40"/>
              <w:jc w:val="center"/>
              <w:rPr>
                <w:b w:val="1"/>
                <w:bCs w:val="1"/>
              </w:rPr>
            </w:pPr>
            <w:r w:rsidDel="00000000" w:rsidR="00000000" w:rsidRPr="00000000">
              <w:rPr>
                <w:rFonts w:ascii="Times New Roman" w:hAnsi="Times New Roman"/>
                <w:b w:val="1"/>
                <w:bCs w:val="1"/>
                <w:sz w:val="20"/>
                <w:rtl w:val="0"/>
              </w:rPr>
              <w:t xml:space="preserve">Perbaikan yang dilakukan</w:t>
            </w:r>
          </w:p>
        </w:tc>
        <w:tc>
          <w:tcPr>
            <w:shd w:fill="auto" w:val="clear"/>
            <w:vAlign w:val="center"/>
          </w:tcPr>
          <w:p w:rsidR="00000000" w:rsidDel="00000000" w:rsidP="00000000" w:rsidRDefault="00000000" w:rsidRPr="00000000" w14:paraId="0000008D">
            <w:pPr>
              <w:spacing w:line="276" w:lineRule="auto" w:after="40"/>
              <w:jc w:val="center"/>
              <w:rPr>
                <w:b w:val="1"/>
                <w:bCs w:val="1"/>
              </w:rPr>
            </w:pPr>
            <w:r w:rsidDel="00000000" w:rsidR="00000000" w:rsidRPr="00000000">
              <w:rPr>
                <w:rFonts w:ascii="Times New Roman" w:hAnsi="Times New Roman"/>
                <w:b w:val="1"/>
                <w:bCs w:val="1"/>
                <w:sz w:val="20"/>
                <w:rtl w:val="0"/>
              </w:rPr>
              <w:t xml:space="preserve">Halaman Revisi</w:t>
            </w:r>
          </w:p>
        </w:tc>
      </w:tr>
      <w:tr>
        <w:trPr>
          <w:cantSplit w:val="0"/>
          <w:tblHeader w:val="0"/>
          <w:cantSplit/>
        </w:trPr>
        <w:tc>
          <w:tcPr>
            <w:vMerge w:val="restart"/>
          </w:tcPr>
          <w:p>
            <w:pPr>
              <w:spacing w:line="276" w:lineRule="auto" w:after="40"/>
            </w:pPr>
            <w:r>
              <w:rPr>
                <w:rFonts w:ascii="Times New Roman" w:hAnsi="Times New Roman"/>
                <w:sz w:val="20"/>
              </w:rPr>
              <w:t>00,</w:t>
              <w:br/>
              <w:t>28 Oktober 2026</w:t>
            </w:r>
          </w:p>
        </w:tc>
        <w:tc>
          <w:tcPr/>
          <w:p>
            <w:pPr>
              <w:spacing w:line="276" w:lineRule="auto" w:after="40"/>
            </w:pPr>
            <w:r>
              <w:rPr>
                <w:rFonts w:ascii="Times New Roman" w:hAnsi="Times New Roman"/>
                <w:sz w:val="20"/>
              </w:rPr>
              <w:t>Draf Final CD-2</w:t>
            </w:r>
          </w:p>
        </w:tc>
        <w:tc>
          <w:tcPr/>
          <w:p>
            <w:pPr>
              <w:spacing w:line="276" w:lineRule="auto" w:after="40"/>
            </w:pPr>
            <w:r>
              <w:rPr>
                <w:rFonts w:ascii="Times New Roman" w:hAnsi="Times New Roman"/>
                <w:sz w:val="20"/>
              </w:rPr>
              <w:t>Penyusunan menyeluruh batasan rekayasa dan spesifikasi kuantitatif sistem irigasi jeruk limau berbasis integrasi multi-pilar (kebutuhan riil mitra Ciberes, regulasi tata air nasional, standar industri ASABE/IEC/ISO, literatur agronomi perakaran dan neraca air FAO), penetapan demarkasi batasan skala purwarupa fungsional (pilot testbed 15–20 pohon) dengan skalabilitas penuh 600 pohon, penyusunan matriks spesifikasi terukur (S-01 s.d. S-14) dengan rasionalisasi pagu belanja purwarupa mahasiswa (&lt;= Rp5.000.000) serta proyeksi investasi skala penuh mitra (&lt;= Rp18.000.000), protokol pengukuran dan verifikasi, perapian rumus matematis berstandar Word Equation OMML, serta pembersihan istilah dwibahasa sesuai kaidah bahasa Indonesia baku dan huruf miring untuk istilah asing.</w:t>
            </w:r>
          </w:p>
        </w:tc>
        <w:tc>
          <w:tcPr/>
          <w:p>
            <w:pPr>
              <w:spacing w:line="276" w:lineRule="auto" w:after="40"/>
            </w:pPr>
            <w:r>
              <w:rPr>
                <w:rFonts w:ascii="Times New Roman" w:hAnsi="Times New Roman"/>
                <w:sz w:val="20"/>
              </w:rPr>
              <w:t>Seluruh Dokumen</w:t>
            </w:r>
          </w:p>
        </w:tc>
      </w:tr>
      <w:tr>
        <w:trPr>
          <w:cantSplit w:val="0"/>
          <w:tblHeader w:val="0"/>
          <w:cantSplit/>
        </w:trPr>
        <w:tc>
          <w:tcPr>
            <w:vMerge w:val="continue"/>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bl>
    <w:p w:rsidR="00000000" w:rsidDel="00000000" w:rsidP="00000000" w:rsidRDefault="00000000" w:rsidRPr="00000000" w14:paraId="000000A4">
      <w:pPr>
        <w:jc w:val="left"/>
        <w:rPr>
          <w:b w:val="1"/>
          <w:bCs w:val="1"/>
        </w:rPr>
      </w:pPr>
      <w:bookmarkStart w:colFirst="0" w:colLast="0" w:name="_m2vcqinhiy46" w:id="1"/>
      <w:bookmarkEnd w:id="1"/>
      <w:r w:rsidDel="00000000" w:rsidR="00000000" w:rsidRPr="00000000">
        <w:rPr>
          <w:rtl w:val="0"/>
        </w:rPr>
      </w:r>
    </w:p>
    <w:p w:rsidR="00000000" w:rsidDel="00000000" w:rsidP="00000000" w:rsidRDefault="00000000" w:rsidRPr="00000000" w14:paraId="000000A5">
      <w:pPr>
        <w:jc w:val="left"/>
        <w:rPr>
          <w:b w:val="1"/>
          <w:bCs w:val="1"/>
        </w:rPr>
        <w:sectPr>
          <w:type w:val="nextPage"/>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pPr>
        <w:keepNext/>
        <w:spacing w:before="360" w:after="240" w:line="360" w:lineRule="auto"/>
        <w:jc w:val="center"/>
      </w:pPr>
      <w:r>
        <w:rPr>
          <w:rFonts w:ascii="Times New Roman" w:hAnsi="Times New Roman"/>
          <w:b/>
          <w:sz w:val="28"/>
        </w:rPr>
        <w:t>BAB 1</w:t>
        <w:br/>
        <w:t>SPESIFIKASI DAN BATASAN DESAIN SISTEM IRIGASI</w:t>
      </w:r>
    </w:p>
    <w:p>
      <w:pPr>
        <w:spacing w:before="0" w:after="120" w:line="360" w:lineRule="auto"/>
        <w:ind w:firstLine="562"/>
        <w:jc w:val="both"/>
      </w:pPr>
      <w:r>
        <w:rPr>
          <w:rFonts w:ascii="Times New Roman" w:hAnsi="Times New Roman"/>
          <w:b w:val="0"/>
          <w:sz w:val="24"/>
        </w:rPr>
        <w:t>Dokumen CD-2 ini merupakan kelanjutan langsung dan berkesinambungan dari dokumen CD-1 (Analisis Permasalahan Penyiraman Manual pada Kebun Jeruk Limau di Ciberes Subang) yang telah disahkan oleh dosen pembimbing. Jika CD-1 berfokus pada identifikasi akar permasalahan operasional, pemetaan tapak lahan eksisting, kendala ketiadaan listrik jala-jala, inefisiensi tenaga kerja manual, serta analisis kelemahan solusi terdahulu, maka dokumen CD-2 ini secara formal menetapkan landasan batasan rekayasa mutlak dan spesifikasi kuantitatif terukur yang wajib dipenuhi oleh solusi rekayasa pada tahap perancangan CD-3.</w:t>
      </w:r>
    </w:p>
    <w:p>
      <w:pPr>
        <w:spacing w:before="0" w:after="120" w:line="360" w:lineRule="auto"/>
        <w:ind w:firstLine="562"/>
        <w:jc w:val="both"/>
      </w:pPr>
      <w:r>
        <w:rPr>
          <w:rFonts w:ascii="Times New Roman" w:hAnsi="Times New Roman"/>
          <w:b w:val="0"/>
          <w:sz w:val="24"/>
        </w:rPr>
        <w:t>Perumusan batasan dan spesifikasi ini dirancang secara terukur, realistis terhadap kondisi fisik tapak, memiliki landasan ilmiah dan regulasi yang kokoh, serta berprinsip netral terhadap pilihan alternatif solusi (</w:t>
      </w:r>
      <w:r>
        <w:rPr>
          <w:rFonts w:ascii="Times New Roman" w:hAnsi="Times New Roman"/>
          <w:b w:val="0"/>
          <w:i/>
          <w:sz w:val="24"/>
        </w:rPr>
        <w:t>solution-agnostic</w:t>
      </w:r>
      <w:r>
        <w:rPr>
          <w:rFonts w:ascii="Times New Roman" w:hAnsi="Times New Roman"/>
          <w:b w:val="0"/>
          <w:sz w:val="24"/>
        </w:rPr>
        <w:t>). Selaras dengan ketentuan Buku Panduan Capstone Design FTE Telkom University (2024), ruang lingkup luaran fisik tugas akhir difokuskan pada perancangan dan pembuktian kinerja purwarupa fungsional (</w:t>
      </w:r>
      <w:r>
        <w:rPr>
          <w:rFonts w:ascii="Times New Roman" w:hAnsi="Times New Roman"/>
          <w:b w:val="0"/>
          <w:i/>
          <w:sz w:val="24"/>
        </w:rPr>
        <w:t>functional working prototype</w:t>
      </w:r>
      <w:r>
        <w:rPr>
          <w:rFonts w:ascii="Times New Roman" w:hAnsi="Times New Roman"/>
          <w:b w:val="0"/>
          <w:sz w:val="24"/>
        </w:rPr>
        <w:t>) pada petak uji representatif (</w:t>
      </w:r>
      <w:r>
        <w:rPr>
          <w:rFonts w:ascii="Times New Roman" w:hAnsi="Times New Roman"/>
          <w:b w:val="0"/>
          <w:i/>
          <w:sz w:val="24"/>
        </w:rPr>
        <w:t>pilot testbed</w:t>
      </w:r>
      <w:r>
        <w:rPr>
          <w:rFonts w:ascii="Times New Roman" w:hAnsi="Times New Roman"/>
          <w:b w:val="0"/>
          <w:sz w:val="24"/>
        </w:rPr>
        <w:t>) kebun mitra, dengan rancang bangun modular yang secara terstruktur dapat diperluas (</w:t>
      </w:r>
      <w:r>
        <w:rPr>
          <w:rFonts w:ascii="Times New Roman" w:hAnsi="Times New Roman"/>
          <w:b w:val="0"/>
          <w:i/>
          <w:sz w:val="24"/>
        </w:rPr>
        <w:t>scalable</w:t>
      </w:r>
      <w:r>
        <w:rPr>
          <w:rFonts w:ascii="Times New Roman" w:hAnsi="Times New Roman"/>
          <w:b w:val="0"/>
          <w:sz w:val="24"/>
        </w:rPr>
        <w:t>) untuk mencakup populasi penuh kebun. Pendekatan ini memastikan bahwa ruang eksplorasi desain pada tahap CD-3 tetap terbuka luas untuk membandingkan sekurang-kurangnya tiga konsep alternatif solusi—seperti jaringan mikroirigasi perpipaan terotomasi, wahana mekanis gerak semi-otonom berselang, maupun arsitektur hibrida—tanpa penguncian dini pada satu opsi perangkat keras tertentu.</w:t>
      </w:r>
    </w:p>
    <w:p>
      <w:pPr>
        <w:keepNext/>
        <w:spacing w:before="280" w:after="120" w:line="360" w:lineRule="auto"/>
        <w:jc w:val="left"/>
      </w:pPr>
      <w:r>
        <w:rPr>
          <w:rFonts w:ascii="Times New Roman" w:hAnsi="Times New Roman"/>
          <w:b/>
          <w:sz w:val="24"/>
        </w:rPr>
        <w:t>1.1 Dasar Penentuan Spesifikasi</w:t>
      </w:r>
    </w:p>
    <w:p>
      <w:pPr>
        <w:spacing w:before="0" w:after="120" w:line="360" w:lineRule="auto"/>
        <w:ind w:firstLine="562"/>
        <w:jc w:val="both"/>
      </w:pPr>
      <w:r>
        <w:rPr>
          <w:rFonts w:ascii="Times New Roman" w:hAnsi="Times New Roman"/>
          <w:b w:val="0"/>
          <w:sz w:val="24"/>
        </w:rPr>
        <w:t>Penetapan batasan rekayasa dan spesifikasi kuantitatif dalam dokumen ini tidak didasarkan pada perkiraan subjektif, melainkan merupakan hasil sintesis multi-pilar yang mengintegrasikan empat fondasi rujukan: (1) kebutuhan riil pengguna dan data faktual lapangan hasil wawancara mitra, (2) kerangka regulasi pemerintah dan standar teknis konsensus industri, (3) literatur ilmiah fisiologi tanaman jeruk limau dan pemodelan neraca air, serta (4) karakteristik tapak lahan eksisting dan keterbatasan sumber daya lingkungan.</w:t>
      </w:r>
    </w:p>
    <w:p>
      <w:pPr>
        <w:keepNext/>
        <w:spacing w:before="200" w:after="80" w:line="360" w:lineRule="auto"/>
        <w:jc w:val="left"/>
      </w:pPr>
      <w:r>
        <w:rPr>
          <w:rFonts w:ascii="Times New Roman" w:hAnsi="Times New Roman"/>
          <w:b/>
          <w:sz w:val="24"/>
        </w:rPr>
        <w:t>1.1.1 Kebutuhan Pengguna dan Hasil Wawancara Lapangan Mitra Ciberes</w:t>
      </w:r>
    </w:p>
    <w:p>
      <w:pPr>
        <w:spacing w:before="0" w:after="120" w:line="360" w:lineRule="auto"/>
        <w:ind w:firstLine="562"/>
        <w:jc w:val="both"/>
      </w:pPr>
      <w:r>
        <w:rPr>
          <w:rFonts w:ascii="Times New Roman" w:hAnsi="Times New Roman"/>
          <w:b w:val="0"/>
          <w:sz w:val="24"/>
        </w:rPr>
        <w:t>Kebutuhan pengguna diperoleh secara primer melalui observasi lapangan mendalam dan rekaman wawancara langsung bersama mitra pengelola kebun jeruk limau di Desa Ciberes, Kecamatan Patokbeusi, Kabupaten Subang, Jawa Barat (terdokumentasi dalam Transkrip Wawancara Audio 1 dan Audio 2, terlampir). Dari penuturan mitra dan verifikasi tim, teridentifikasi fakta-fakta kunci dan kebutuhan esensial sebagai berikut:</w:t>
      </w:r>
    </w:p>
    <w:p>
      <w:pPr>
        <w:keepNext/>
        <w:spacing w:before="160" w:after="40" w:line="360" w:lineRule="auto"/>
        <w:ind w:firstLine="0"/>
        <w:jc w:val="both"/>
      </w:pPr>
      <w:r>
        <w:rPr>
          <w:rFonts w:ascii="Times New Roman" w:hAnsi="Times New Roman"/>
          <w:b/>
          <w:sz w:val="24"/>
        </w:rPr>
        <w:t>1. Beban Biaya Tenaga Kerja Manual dan Struktur Pengeluaran Mitra</w:t>
      </w:r>
    </w:p>
    <w:p>
      <w:pPr>
        <w:spacing w:before="0" w:after="120" w:line="360" w:lineRule="auto"/>
        <w:ind w:firstLine="562"/>
        <w:jc w:val="both"/>
      </w:pPr>
      <w:r>
        <w:rPr>
          <w:rFonts w:ascii="Times New Roman" w:hAnsi="Times New Roman"/>
          <w:b w:val="0"/>
          <w:sz w:val="24"/>
        </w:rPr>
        <w:t>Populasi tanaman kebun berjumlah sekitar 500 hingga 600 pohon jeruk limau yang tertata pada lahan memanjang seluas ~3.000 m² (panjang lintasan ~100 m hingga 117,52 m). Untuk menyiram seluruh pohon tersebut, pengelola kebun mempekerjakan 4 orang buruh harian lepas dengan upah masing-masing Rp100.000 per kegiatan (total pengeluaran Rp400.000 per satu kali siram). Pada musim kemarau dan fase pembungaan/pembuahan, penyiraman wajib dilakukan rutin rata-rata 3 hari sekali (~10 hingga 12 kali per bulan). Skenario perhitungan tahunan menunjukkan estimasi akumulasi upah tenaga kerja mencapai Rp48.700.000 per tahun. Mengingat total biaya modal pembukaan lahan mitra telah menyentuh sekitar Rp90.000.000, beban upah manual ini sangat memberatkan arus kas usaha tani. Pengelola secara tegas menginginkan adanya mekanisasi atau otomasi yang mampu menggantikan pekerjaan fisik menimba dan mengguyur air agar biaya tenaga kerja dapat dipangkas secara drastis [31].</w:t>
      </w:r>
    </w:p>
    <w:p>
      <w:pPr>
        <w:keepNext/>
        <w:spacing w:before="160" w:after="40" w:line="360" w:lineRule="auto"/>
        <w:ind w:firstLine="0"/>
        <w:jc w:val="both"/>
      </w:pPr>
      <w:r>
        <w:rPr>
          <w:rFonts w:ascii="Times New Roman" w:hAnsi="Times New Roman"/>
          <w:b/>
          <w:sz w:val="24"/>
        </w:rPr>
        <w:t>2. Ketidakpastian Dosis Air dan Keterbatasan Tenaga Fisik</w:t>
      </w:r>
    </w:p>
    <w:p>
      <w:pPr>
        <w:spacing w:before="0" w:after="120" w:line="360" w:lineRule="auto"/>
        <w:ind w:firstLine="562"/>
        <w:jc w:val="both"/>
      </w:pPr>
      <w:r>
        <w:rPr>
          <w:rFonts w:ascii="Times New Roman" w:hAnsi="Times New Roman"/>
          <w:b w:val="0"/>
          <w:sz w:val="24"/>
        </w:rPr>
        <w:t>Pekerjaan penyiraman eksisting dilakukan dengan menyedot air sungai ke dalam parit, kemudian 4 pekerja berjalan menyusuri barisan parit untuk menimba air menggunakan wadah ember kecil (kapasitas sekitar 5 Liter) dan mengguyurkannya manual ke pangkal tanaman sebanyak 2 hingga 3 kali guyuran. Estimasi empiris petani adalah sekitar 10 hingga 15 Liter per pohon, namun volume riil per pohon tidak pernah diukur secara presisi. Ketidakseragaman takaran sangat rentan terjadi akibat kelelahan fisik pekerja di tengah terik matahari Subang, di mana pohon-pohon di barisan awal parit kerap menerima air berlebih, sementara pohon di baris tengah hingga ujung parit rawan kekurangan pasokan air.</w:t>
      </w:r>
    </w:p>
    <w:p>
      <w:pPr>
        <w:keepNext/>
        <w:spacing w:before="160" w:after="40" w:line="360" w:lineRule="auto"/>
        <w:ind w:firstLine="0"/>
        <w:jc w:val="both"/>
      </w:pPr>
      <w:r>
        <w:rPr>
          <w:rFonts w:ascii="Times New Roman" w:hAnsi="Times New Roman"/>
          <w:b/>
          <w:sz w:val="24"/>
        </w:rPr>
        <w:t>3. Kendala Operasional Pompa Bensin Eksisting dan Kegagalan Modifikasi LPG</w:t>
      </w:r>
    </w:p>
    <w:p>
      <w:pPr>
        <w:spacing w:before="0" w:after="120" w:line="360" w:lineRule="auto"/>
        <w:ind w:firstLine="562"/>
        <w:jc w:val="both"/>
      </w:pPr>
      <w:r>
        <w:rPr>
          <w:rFonts w:ascii="Times New Roman" w:hAnsi="Times New Roman"/>
          <w:b w:val="0"/>
          <w:sz w:val="24"/>
        </w:rPr>
        <w:t>Suplai air kebun mengandalkan pompa mesin pembakaran internal bensin (merk Alkon diameter pipa 2 inci, berbahan bakar Pertalite) untuk menyedot air dari sungai/saluran irigasi yang berjarak 20,54 meter dari tepi kebun menuju parit tanah. Mitra sempat melakukan modifikasi mekanis dengan mengganti bahan bakar bensin menggunakan tabung gas LPG 3 kg untuk menekan biaya operasional. Namun, eksperimen tersebut terpaksa dihentikan permanen karena blok mesin pompa mengalami pemanasan berlebih (</w:t>
      </w:r>
      <w:r>
        <w:rPr>
          <w:rFonts w:ascii="Times New Roman" w:hAnsi="Times New Roman"/>
          <w:b w:val="0"/>
          <w:i/>
          <w:sz w:val="24"/>
        </w:rPr>
        <w:t>overheating</w:t>
      </w:r>
      <w:r>
        <w:rPr>
          <w:rFonts w:ascii="Times New Roman" w:hAnsi="Times New Roman"/>
          <w:b w:val="0"/>
          <w:sz w:val="24"/>
        </w:rPr>
        <w:t>), tarikan mesin tidak stabil, serta menimbulkan kekhawatiran bahaya kebakaran di area basah. Oleh karena itu, mitra membutuhkan sistem penggerak atau pompa baru yang andal, aman, bersuara tenang, dan tidak menimbulkan komplikasi perawatan mekanik.</w:t>
      </w:r>
    </w:p>
    <w:p>
      <w:pPr>
        <w:keepNext/>
        <w:spacing w:before="160" w:after="40" w:line="360" w:lineRule="auto"/>
        <w:ind w:firstLine="0"/>
        <w:jc w:val="both"/>
      </w:pPr>
      <w:r>
        <w:rPr>
          <w:rFonts w:ascii="Times New Roman" w:hAnsi="Times New Roman"/>
          <w:b/>
          <w:sz w:val="24"/>
        </w:rPr>
        <w:t>4. Kebutuhan Proteksi Hara Pemupukan Jeruk</w:t>
      </w:r>
    </w:p>
    <w:p>
      <w:pPr>
        <w:spacing w:before="0" w:after="120" w:line="360" w:lineRule="auto"/>
        <w:ind w:firstLine="562"/>
        <w:jc w:val="both"/>
      </w:pPr>
      <w:r>
        <w:rPr>
          <w:rFonts w:ascii="Times New Roman" w:hAnsi="Times New Roman"/>
          <w:b w:val="0"/>
          <w:sz w:val="24"/>
        </w:rPr>
        <w:t>Pohon jeruk limau di kebun Ciberes dipupuk secara periodik sebanyak dua kali dalam setahun menggunakan kombinasi pupuk NPK dan pupuk organik/kandang yang dibenamkan melingkar di sekeliling tajuk perakaran. Mitra menyampaikan bahwa metode guyuran manual ember bervolume besar kerap menimbulkan aliran limpasan permukaan yang mengikis tanah gembur dan menghanyutkan butiran pupuk ke dasar parit galian sebelum sempat diserap oleh akar serabut. Hal ini menegaskan perlunya sistem penyiraman yang mampu mendistribusikan air secara perlahan dan terarah ke zona perakaran tanpa memicu erosi hara.</w:t>
      </w:r>
    </w:p>
    <w:p>
      <w:pPr>
        <w:keepNext/>
        <w:spacing w:before="160" w:after="40" w:line="360" w:lineRule="auto"/>
        <w:ind w:firstLine="0"/>
        <w:jc w:val="both"/>
      </w:pPr>
      <w:r>
        <w:rPr>
          <w:rFonts w:ascii="Times New Roman" w:hAnsi="Times New Roman"/>
          <w:b/>
          <w:sz w:val="24"/>
        </w:rPr>
        <w:t>5. Ekspektasi Kinerja Solusi Rekayasa Baru</w:t>
      </w:r>
    </w:p>
    <w:p>
      <w:pPr>
        <w:spacing w:before="0" w:after="120" w:line="360" w:lineRule="auto"/>
        <w:ind w:firstLine="562"/>
        <w:jc w:val="both"/>
      </w:pPr>
      <w:r>
        <w:rPr>
          <w:rFonts w:ascii="Times New Roman" w:hAnsi="Times New Roman"/>
          <w:b w:val="0"/>
          <w:sz w:val="24"/>
        </w:rPr>
        <w:t>Mitra mengharapkan sistem irigasi baru memiliki target keandalan yang konkret: (a) mampu menjamin kepastian pasokan air 10–15 Liter per pohon secara merata, (b) memiliki biaya operasional per siklus yang sangat rendah sehingga modal investasi dapat lekas kembali dalam 1–2 musim panen, (c) mudah dioperasikan oleh pekerja lokal melalui pengoperasian tombol tunggal (</w:t>
      </w:r>
      <w:r>
        <w:rPr>
          <w:rFonts w:ascii="Times New Roman" w:hAnsi="Times New Roman"/>
          <w:b w:val="0"/>
          <w:i/>
          <w:sz w:val="24"/>
        </w:rPr>
        <w:t>single-touch</w:t>
      </w:r>
      <w:r>
        <w:rPr>
          <w:rFonts w:ascii="Times New Roman" w:hAnsi="Times New Roman"/>
          <w:b w:val="0"/>
          <w:sz w:val="24"/>
        </w:rPr>
        <w:t>) tanpa prosedur perangkat lunak yang rumit, serta (d) komponen sistem tahan terhadap paparan cuaca luar ruangan dan lumpur tanah sawah [31].</w:t>
      </w:r>
    </w:p>
    <w:p>
      <w:pPr>
        <w:keepNext/>
        <w:spacing w:before="240" w:after="80" w:line="360" w:lineRule="auto"/>
        <w:jc w:val="left"/>
      </w:pPr>
      <w:r>
        <w:rPr>
          <w:rFonts w:ascii="Times New Roman" w:hAnsi="Times New Roman"/>
          <w:b/>
          <w:sz w:val="24"/>
        </w:rPr>
        <w:t>1.1.2 Regulasi Pemerintah dan Standar Teknis Industri</w:t>
      </w:r>
    </w:p>
    <w:p>
      <w:pPr>
        <w:spacing w:before="0" w:after="120" w:line="360" w:lineRule="auto"/>
        <w:ind w:firstLine="562"/>
        <w:jc w:val="both"/>
      </w:pPr>
      <w:r>
        <w:rPr>
          <w:rFonts w:ascii="Times New Roman" w:hAnsi="Times New Roman"/>
          <w:b w:val="0"/>
          <w:sz w:val="24"/>
        </w:rPr>
        <w:t>Sistem rekayasa pertanian modern wajib mematuhi kerangka hukum tata kelola air nasional serta standar teknik konsensus industri internasional:</w:t>
      </w:r>
    </w:p>
    <w:p>
      <w:pPr>
        <w:keepNext/>
        <w:spacing w:before="160" w:after="40" w:line="360" w:lineRule="auto"/>
        <w:ind w:firstLine="0"/>
        <w:jc w:val="both"/>
      </w:pPr>
      <w:r>
        <w:rPr>
          <w:rFonts w:ascii="Times New Roman" w:hAnsi="Times New Roman"/>
          <w:b/>
          <w:sz w:val="24"/>
        </w:rPr>
        <w:t>1. Standar Evaluasi dan Desain Keseragaman Irigasi Mikro (ANSI/ASAE S398.1 &amp; ASAE EP405.1)</w:t>
      </w:r>
    </w:p>
    <w:p>
      <w:pPr>
        <w:spacing w:before="0" w:after="120" w:line="360" w:lineRule="auto"/>
        <w:ind w:firstLine="562"/>
        <w:jc w:val="both"/>
      </w:pPr>
      <w:r>
        <w:rPr>
          <w:rFonts w:ascii="Times New Roman" w:hAnsi="Times New Roman"/>
          <w:b w:val="0"/>
          <w:sz w:val="24"/>
        </w:rPr>
        <w:t>American Society of Agricultural and Biological Engineers (ASABE) menetapkan standar baku pengukuran kinerja hidraulik sistem irigasi mikro melalui ANSI/ASAE S398.1 (</w:t>
      </w:r>
      <w:r>
        <w:rPr>
          <w:rFonts w:ascii="Times New Roman" w:hAnsi="Times New Roman"/>
          <w:b w:val="0"/>
          <w:i/>
          <w:sz w:val="24"/>
        </w:rPr>
        <w:t>Procedure for Sprinkler Testing and Performance Reporting</w:t>
      </w:r>
      <w:r>
        <w:rPr>
          <w:rFonts w:ascii="Times New Roman" w:hAnsi="Times New Roman"/>
          <w:b w:val="0"/>
          <w:sz w:val="24"/>
        </w:rPr>
        <w:t>) dan ASAE EP405.1 (</w:t>
      </w:r>
      <w:r>
        <w:rPr>
          <w:rFonts w:ascii="Times New Roman" w:hAnsi="Times New Roman"/>
          <w:b w:val="0"/>
          <w:i/>
          <w:sz w:val="24"/>
        </w:rPr>
        <w:t>Design and Installation of Microirrigation Systems</w:t>
      </w:r>
      <w:r>
        <w:rPr>
          <w:rFonts w:ascii="Times New Roman" w:hAnsi="Times New Roman"/>
          <w:b w:val="0"/>
          <w:sz w:val="24"/>
        </w:rPr>
        <w:t>). Untuk budidaya tanaman hortikultura bernilai tinggi, standar menetapkan bahwa Koefisien Keseragaman Christiansen (CU) minimum adalah &gt;= 80%, dengan target rancangan rekayasa ideal mencapai CU &gt;= 85%. Nilai keseragaman ini menjamin distribusi kelembapan tanah yang homogen di seluruh blok lahan tanpa disparitas hidraulik antara titik terdekat dan terjauh dari sumber suplai [2], [3], [23].</w:t>
      </w:r>
    </w:p>
    <w:p>
      <w:pPr>
        <w:keepNext/>
        <w:spacing w:before="160" w:after="40" w:line="360" w:lineRule="auto"/>
        <w:ind w:firstLine="0"/>
        <w:jc w:val="both"/>
      </w:pPr>
      <w:r>
        <w:rPr>
          <w:rFonts w:ascii="Times New Roman" w:hAnsi="Times New Roman"/>
          <w:b/>
          <w:sz w:val="24"/>
        </w:rPr>
        <w:t>2. Regulasi Pemerintah tentang Pengelolaan Air Irigasi (PP No. 20 Tahun 2006 &amp; Permentan No. 49/2014)</w:t>
      </w:r>
    </w:p>
    <w:p>
      <w:pPr>
        <w:spacing w:before="0" w:after="120" w:line="360" w:lineRule="auto"/>
        <w:ind w:firstLine="562"/>
        <w:jc w:val="both"/>
      </w:pPr>
      <w:r>
        <w:rPr>
          <w:rFonts w:ascii="Times New Roman" w:hAnsi="Times New Roman"/>
          <w:b w:val="0"/>
          <w:sz w:val="24"/>
        </w:rPr>
        <w:t>Peraturan Pemerintah Republik Indonesia Nomor 20 Tahun 2006 tentang Irigasi juncto Peraturan Menteri Pertanian No. 49/Permentan/OT.140/4/2014 menegaskan amanat konservasi sumber daya air pertanian: pengelolaan air di tingkat usaha tani wajib mengutamakan efisiensi pemanfaatan air secara tertib dan berkesinambungan (target efisiensi aplikasi air eta_a &gt;= 75–80%), mencegah pemborosan air akibat perkolasi dalam dan kebocoran saluran tanah bebas, serta mendorong penerapan teknologi irigasi hemat air berdaya guna tinggi [6], [7].</w:t>
      </w:r>
    </w:p>
    <w:p>
      <w:pPr>
        <w:keepNext/>
        <w:spacing w:before="160" w:after="40" w:line="360" w:lineRule="auto"/>
        <w:ind w:firstLine="0"/>
        <w:jc w:val="both"/>
      </w:pPr>
      <w:r>
        <w:rPr>
          <w:rFonts w:ascii="Times New Roman" w:hAnsi="Times New Roman"/>
          <w:b/>
          <w:sz w:val="24"/>
        </w:rPr>
        <w:t>3. Standar Komponen dan Emiter Irigasi Mikro (ISO 9261:2004)</w:t>
      </w:r>
    </w:p>
    <w:p>
      <w:pPr>
        <w:spacing w:before="0" w:after="120" w:line="360" w:lineRule="auto"/>
        <w:ind w:firstLine="562"/>
        <w:jc w:val="both"/>
      </w:pPr>
      <w:r>
        <w:rPr>
          <w:rFonts w:ascii="Times New Roman" w:hAnsi="Times New Roman"/>
          <w:b w:val="0"/>
          <w:sz w:val="24"/>
        </w:rPr>
        <w:t>Standar internasional ISO 9261:2004 (</w:t>
      </w:r>
      <w:r>
        <w:rPr>
          <w:rFonts w:ascii="Times New Roman" w:hAnsi="Times New Roman"/>
          <w:b w:val="0"/>
          <w:i/>
          <w:sz w:val="24"/>
        </w:rPr>
        <w:t>Agricultural irrigation equipment — Emitters and emitting pipe — Specification and test methods</w:t>
      </w:r>
      <w:r>
        <w:rPr>
          <w:rFonts w:ascii="Times New Roman" w:hAnsi="Times New Roman"/>
          <w:b w:val="0"/>
          <w:sz w:val="24"/>
        </w:rPr>
        <w:t>) mengatur toleransi mekanis, ketahanan hidraulis terhadap tekanan kerja, serta batas variasi laju alir koefisien variasi manufaktur (Cv &lt;= 0,05). Standar ini menjadi acuan mutlak agar emiter tetes, lubang mikro, atau nozzle tidak mengalami deformasi fisik dan lonjakan debit saat dioperasikan di bawah tekanan fluida pertanian [8].</w:t>
      </w:r>
    </w:p>
    <w:p>
      <w:pPr>
        <w:keepNext/>
        <w:spacing w:before="160" w:after="40" w:line="360" w:lineRule="auto"/>
        <w:ind w:firstLine="0"/>
        <w:jc w:val="both"/>
      </w:pPr>
      <w:r>
        <w:rPr>
          <w:rFonts w:ascii="Times New Roman" w:hAnsi="Times New Roman"/>
          <w:b/>
          <w:sz w:val="24"/>
        </w:rPr>
        <w:t>4. Standar Proteksi Selungkup Lingkungan Luar Ruangan (IEC 60529 / SNI IEC 60529:2014)</w:t>
      </w:r>
    </w:p>
    <w:p>
      <w:pPr>
        <w:spacing w:before="0" w:after="120" w:line="360" w:lineRule="auto"/>
        <w:ind w:firstLine="562"/>
        <w:jc w:val="both"/>
      </w:pPr>
      <w:r>
        <w:rPr>
          <w:rFonts w:ascii="Times New Roman" w:hAnsi="Times New Roman"/>
          <w:b w:val="0"/>
          <w:sz w:val="24"/>
        </w:rPr>
        <w:t>Peralatan instrumentasi, kontroler elektronika mikrokontroler, akuisisi data, dan sistem konversi daya yang diletakkan di tapak kebun terbuka tanpa naungan permanen wajib memenuhi derajat perlindungan selungkup minimal IP65 berdasarkan standar IEC 60529 dan adopsi identik SNI IEC 60529:2014. Rating ini memastikan selungkup kedap partikel debu tanah secara total serta tahan terhadap semprotan air bertekanan rendah dari berbagai sudut tanpa kebocoran ke papan sirkuit cetak [4], [5].</w:t>
      </w:r>
    </w:p>
    <w:p>
      <w:pPr>
        <w:keepNext/>
        <w:spacing w:before="160" w:after="40" w:line="360" w:lineRule="auto"/>
        <w:ind w:firstLine="0"/>
        <w:jc w:val="both"/>
      </w:pPr>
      <w:r>
        <w:rPr>
          <w:rFonts w:ascii="Times New Roman" w:hAnsi="Times New Roman"/>
          <w:b/>
          <w:sz w:val="24"/>
        </w:rPr>
        <w:t>5. Standar Keselamatan Kelistrikan Area Pertanian Basah (IEC 60364-4-41 &amp; IEEE 1451)</w:t>
      </w:r>
    </w:p>
    <w:p>
      <w:pPr>
        <w:spacing w:before="0" w:after="120" w:line="360" w:lineRule="auto"/>
        <w:ind w:firstLine="562"/>
        <w:jc w:val="both"/>
      </w:pPr>
      <w:r>
        <w:rPr>
          <w:rFonts w:ascii="Times New Roman" w:hAnsi="Times New Roman"/>
          <w:b w:val="0"/>
          <w:sz w:val="24"/>
        </w:rPr>
        <w:t>Lingkungan pertanian terbuka dengan saluran air parit basah memiliki konduktivitas tinggi yang meningkatkan risiko bahaya sengatan listrik. Standar IEC 60364-4-41 klausul 414 menetapkan batas tegangan ekstra rendah aman (</w:t>
      </w:r>
      <w:r>
        <w:rPr>
          <w:rFonts w:ascii="Times New Roman" w:hAnsi="Times New Roman"/>
          <w:b w:val="0"/>
          <w:i/>
          <w:sz w:val="24"/>
        </w:rPr>
        <w:t>Safety Extra-Low Voltage</w:t>
      </w:r>
      <w:r>
        <w:rPr>
          <w:rFonts w:ascii="Times New Roman" w:hAnsi="Times New Roman"/>
          <w:b w:val="0"/>
          <w:sz w:val="24"/>
        </w:rPr>
        <w:t xml:space="preserve"> / SELV) maksimal 48 V DC untuk seluruh aktuator, pompa elektrik mikro, dan instrumentasi lapangan. Sementara itu, standar IEEE Std 1451.4-2004 digunakan sebagai acuan arsitektur instrumentasi sensor terkalibrasi berdaya rendah [10], [11].</w:t>
      </w:r>
    </w:p>
    <w:p>
      <w:pPr>
        <w:keepNext/>
        <w:spacing w:before="160" w:after="40" w:line="360" w:lineRule="auto"/>
        <w:ind w:firstLine="0"/>
        <w:jc w:val="both"/>
      </w:pPr>
      <w:r>
        <w:rPr>
          <w:rFonts w:ascii="Times New Roman" w:hAnsi="Times New Roman"/>
          <w:b/>
          <w:sz w:val="24"/>
        </w:rPr>
        <w:t>6. Standar Pembangkit Listrik Surya Fotovoltaik Mandiri (IEC 62124 &amp; FAO Guidelines)</w:t>
      </w:r>
    </w:p>
    <w:p>
      <w:pPr>
        <w:spacing w:before="0" w:after="120" w:line="360" w:lineRule="auto"/>
        <w:ind w:firstLine="562"/>
        <w:jc w:val="both"/>
      </w:pPr>
      <w:r>
        <w:rPr>
          <w:rFonts w:ascii="Times New Roman" w:hAnsi="Times New Roman"/>
          <w:b w:val="0"/>
          <w:sz w:val="24"/>
        </w:rPr>
        <w:t xml:space="preserve">Standar </w:t>
      </w:r>
      <w:r>
        <w:rPr>
          <w:rFonts w:ascii="Times New Roman" w:hAnsi="Times New Roman"/>
          <w:b w:val="0"/>
          <w:i/>
          <w:sz w:val="24"/>
        </w:rPr>
        <w:t>Photovoltaic Stand-Alone Systems: Design Verification</w:t>
      </w:r>
      <w:r>
        <w:rPr>
          <w:rFonts w:ascii="Times New Roman" w:hAnsi="Times New Roman"/>
          <w:b w:val="0"/>
          <w:sz w:val="24"/>
        </w:rPr>
        <w:t xml:space="preserve"> (IEC 62124:2004) dan panduan teknis FAO mengenai </w:t>
      </w:r>
      <w:r>
        <w:rPr>
          <w:rFonts w:ascii="Times New Roman" w:hAnsi="Times New Roman"/>
          <w:b w:val="0"/>
          <w:i/>
          <w:sz w:val="24"/>
        </w:rPr>
        <w:t>Solar-Powered Irrigation Systems</w:t>
      </w:r>
      <w:r>
        <w:rPr>
          <w:rFonts w:ascii="Times New Roman" w:hAnsi="Times New Roman"/>
          <w:b w:val="0"/>
          <w:sz w:val="24"/>
        </w:rPr>
        <w:t xml:space="preserve"> (Hartung &amp; Pluschke, 2018) mensyaratkan bahwa sistem PLTS mandiri pertanian wajib memperhitungkan faktor cadangan energi mandiri minimal 1,5 hingga 2 hari operasi kontinu tanpa sinar matahari langsung guna mengantisipasi cuaca mendung atau anomali musim hujan di wilayah tropis [9], [26], [27].</w:t>
      </w:r>
    </w:p>
    <w:p>
      <w:pPr>
        <w:keepNext/>
        <w:spacing w:before="240" w:after="80" w:line="360" w:lineRule="auto"/>
        <w:jc w:val="left"/>
      </w:pPr>
      <w:r>
        <w:rPr>
          <w:rFonts w:ascii="Times New Roman" w:hAnsi="Times New Roman"/>
          <w:b/>
          <w:sz w:val="24"/>
        </w:rPr>
        <w:t>1.1.3 Karakteristik Fisiologi Tanaman Jeruk Limau dan Literatur Agronomi</w:t>
      </w:r>
    </w:p>
    <w:p>
      <w:pPr>
        <w:spacing w:before="0" w:after="120" w:line="360" w:lineRule="auto"/>
        <w:ind w:firstLine="562"/>
        <w:jc w:val="both"/>
      </w:pPr>
      <w:r>
        <w:rPr>
          <w:rFonts w:ascii="Times New Roman" w:hAnsi="Times New Roman"/>
          <w:b w:val="0"/>
          <w:sz w:val="24"/>
        </w:rPr>
        <w:t>Karakteristik biologis tanaman jeruk limau (</w:t>
      </w:r>
      <w:r>
        <w:rPr>
          <w:rFonts w:ascii="Times New Roman" w:hAnsi="Times New Roman"/>
          <w:b w:val="0"/>
          <w:i/>
          <w:sz w:val="24"/>
        </w:rPr>
        <w:t>Citrus amblycarpa Hassk. Ochse</w:t>
      </w:r>
      <w:r>
        <w:rPr>
          <w:rFonts w:ascii="Times New Roman" w:hAnsi="Times New Roman"/>
          <w:b w:val="0"/>
          <w:sz w:val="24"/>
        </w:rPr>
        <w:t>) menjadi fondasi penentuan dosis volume, frekuensi, dan zona pembasahan:</w:t>
      </w:r>
    </w:p>
    <w:p>
      <w:pPr>
        <w:keepNext/>
        <w:spacing w:before="160" w:after="40" w:line="360" w:lineRule="auto"/>
        <w:ind w:firstLine="0"/>
        <w:jc w:val="both"/>
      </w:pPr>
      <w:r>
        <w:rPr>
          <w:rFonts w:ascii="Times New Roman" w:hAnsi="Times New Roman"/>
          <w:b/>
          <w:sz w:val="24"/>
        </w:rPr>
        <w:t>1. Morfologi Perakaran Dangkal Jeruk Limau</w:t>
      </w:r>
    </w:p>
    <w:p>
      <w:pPr>
        <w:spacing w:before="0" w:after="120" w:line="360" w:lineRule="auto"/>
        <w:ind w:firstLine="562"/>
        <w:jc w:val="both"/>
      </w:pPr>
      <w:r>
        <w:rPr>
          <w:rFonts w:ascii="Times New Roman" w:hAnsi="Times New Roman"/>
          <w:b w:val="0"/>
          <w:sz w:val="24"/>
        </w:rPr>
        <w:t>Berdasarkan kajian morfologi dan metabolomik jeruk limau oleh Budiarto dkk. (2017) serta pedoman nutrisi pohon jeruk University of Florida IFAS Extension (Obreza dkk., 2020), sistem perakaran tanaman jeruk didominasi oleh akar serabut aktif yang terkonsentrasi pada lapisan tanah dangkal dengan kedalaman efektif 20–40 cm dan radius sebaran horizontal 0,5–0,8 m di bawah proyeksi kanopi tajuk pohon. Pemberian air di luar radius proyeksi tajuk tidak dapat diserap optimal oleh akar dan hanya memicu pertumbuhan gulma liar yang menyerap unsur hara tanah [20], [24].</w:t>
      </w:r>
    </w:p>
    <w:p>
      <w:pPr>
        <w:keepNext/>
        <w:spacing w:before="160" w:after="40" w:line="360" w:lineRule="auto"/>
        <w:ind w:firstLine="0"/>
        <w:jc w:val="both"/>
      </w:pPr>
      <w:r>
        <w:rPr>
          <w:rFonts w:ascii="Times New Roman" w:hAnsi="Times New Roman"/>
          <w:b/>
          <w:sz w:val="24"/>
        </w:rPr>
        <w:t>2. Pemodelan Neraca Air Evapotranspirasi FAO-56 Penman-Monteith</w:t>
      </w:r>
    </w:p>
    <w:p>
      <w:pPr>
        <w:spacing w:before="0" w:after="120" w:line="360" w:lineRule="auto"/>
        <w:ind w:firstLine="562"/>
        <w:jc w:val="both"/>
      </w:pPr>
      <w:r>
        <w:rPr>
          <w:rFonts w:ascii="Times New Roman" w:hAnsi="Times New Roman"/>
          <w:b w:val="0"/>
          <w:sz w:val="24"/>
        </w:rPr>
        <w:t>Estimasi kebutuhan air tanaman jeruk limau dihitung mengacu pada metodologi standar FAO Irrigation and Drainage Paper 56 (Allen dkk., 1998), panduan irigasi jeruk Florida (Kadyampakeni dkk., 2023), serta korelasi sistem penjadwalan irigasi Pereira (1996). Kebutuhan evapotranspirasi aktual tanaman dihitung melalui Persamaan 1:</w:t>
      </w:r>
    </w:p>
    <w:p>
      <w:pPr>
        <w:keepNext/>
        <w:spacing w:before="80" w:after="80" w:line="240" w:lineRule="auto"/>
        <w:jc w:val="center"/>
      </w:pPr>
      <m:oMathPara>
        <m:oMath>
          <m:sSub>
            <m:e>
              <m:r>
                <m:rPr>
                  <m:sty m:val="i"/>
                </m:rPr>
                <m:t>ET</m:t>
              </m:r>
            </m:e>
            <m:sub>
              <m:r>
                <m:rPr>
                  <m:sty m:val="i"/>
                </m:rPr>
                <m:t>c</m:t>
              </m:r>
            </m:sub>
          </m:sSub>
          <m:r>
            <m:t> = </m:t>
          </m:r>
          <m:sSub>
            <m:e>
              <m:r>
                <m:rPr>
                  <m:sty m:val="i"/>
                </m:rPr>
                <m:t>K</m:t>
              </m:r>
            </m:e>
            <m:sub>
              <m:r>
                <m:rPr>
                  <m:sty m:val="i"/>
                </m:rPr>
                <m:t>c</m:t>
              </m:r>
            </m:sub>
          </m:sSub>
          <m:r>
            <m:t> × </m:t>
          </m:r>
          <m:sSub>
            <m:e>
              <m:r>
                <m:rPr>
                  <m:sty m:val="i"/>
                </m:rPr>
                <m:t>ET</m:t>
              </m:r>
            </m:e>
            <m:sub>
              <m:r>
                <m:t>0</m:t>
              </m:r>
            </m:sub>
          </m:sSub>
        </m:oMath>
      </m:oMathPara>
    </w:p>
    <w:p>
      <w:pPr>
        <w:spacing w:before="0" w:after="120" w:line="360" w:lineRule="auto"/>
        <w:ind w:firstLine="562"/>
        <w:jc w:val="both"/>
      </w:pPr>
      <w:r>
        <w:rPr>
          <w:rFonts w:ascii="Times New Roman" w:hAnsi="Times New Roman"/>
          <w:b w:val="0"/>
          <w:sz w:val="24"/>
        </w:rPr>
        <w:t>Di mana ETc adalah laju evapotranspirasi aktual tanaman (mm/hari), Kc adalah koefisien tanaman jeruk kanopi sedang pada fase pertumbuhan aktif (Kc = 0,70–0,80), dan ET0 adalah laju evapotranspirasi acuan lingkungan Subang pada musim kemarau berkisar 4,5–5,0 mm/hari. Kebutuhan air per pohon dalam satu siklus penyiraman dihitung melalui persamaan neraca air (Persamaan 2):</w:t>
      </w:r>
    </w:p>
    <w:p>
      <w:pPr>
        <w:keepNext/>
        <w:spacing w:before="80" w:after="80" w:line="240" w:lineRule="auto"/>
        <w:jc w:val="center"/>
      </w:pPr>
      <m:oMathPara>
        <m:oMath>
          <m:sSub>
            <m:e>
              <m:r>
                <m:rPr>
                  <m:sty m:val="i"/>
                </m:rPr>
                <m:t>V</m:t>
              </m:r>
            </m:e>
            <m:sub>
              <m:r>
                <m:rPr>
                  <m:sty m:val="i"/>
                </m:rPr>
                <m:t>pohon</m:t>
              </m:r>
            </m:sub>
          </m:sSub>
          <m:r>
            <m:t> = </m:t>
          </m:r>
          <m:sSub>
            <m:e>
              <m:r>
                <m:rPr>
                  <m:sty m:val="i"/>
                </m:rPr>
                <m:t>ET</m:t>
              </m:r>
            </m:e>
            <m:sub>
              <m:r>
                <m:rPr>
                  <m:sty m:val="i"/>
                </m:rPr>
                <m:t>c</m:t>
              </m:r>
            </m:sub>
          </m:sSub>
          <m:r>
            <m:t> × </m:t>
          </m:r>
          <m:sSub>
            <m:e>
              <m:r>
                <m:rPr>
                  <m:sty m:val="i"/>
                </m:rPr>
                <m:t>A</m:t>
              </m:r>
            </m:e>
            <m:sub>
              <m:r>
                <m:rPr>
                  <m:sty m:val="i"/>
                </m:rPr>
                <m:t>tajuk</m:t>
              </m:r>
            </m:sub>
          </m:sSub>
          <m:r>
            <m:t> × </m:t>
          </m:r>
          <m:sSub>
            <m:e>
              <m:r>
                <m:rPr>
                  <m:sty m:val="i"/>
                </m:rPr>
                <m:t>I</m:t>
              </m:r>
            </m:e>
            <m:sub>
              <m:r>
                <m:rPr>
                  <m:sty m:val="i"/>
                </m:rPr>
                <m:t>siram</m:t>
              </m:r>
            </m:sub>
          </m:sSub>
        </m:oMath>
      </m:oMathPara>
    </w:p>
    <w:p>
      <w:pPr>
        <w:spacing w:before="0" w:after="120" w:line="360" w:lineRule="auto"/>
        <w:ind w:firstLine="562"/>
        <w:jc w:val="both"/>
      </w:pPr>
      <w:r>
        <w:rPr>
          <w:rFonts w:ascii="Times New Roman" w:hAnsi="Times New Roman"/>
          <w:b w:val="0"/>
          <w:sz w:val="24"/>
        </w:rPr>
        <w:t>Di mana Atajuk adalah luas proyeksi kanopi tajuk basah perakaran (~1,0 m² untuk pohon setinggi ~1 meter) dan Isiram adalah interval frekuensi penyiraman (2–3 hari per siklus). Substitusi nilai parameter lapangan menghasilkan kebutuhan air teoritis berkisar 9,8 hingga 15,2 Liter per pohon per siklus penyiraman. Perhitungan ilmiah ini secara eksak memvalidasi batas empiris petani mitra di kebun Ciberes (10–15 Liter per pohon) [1], [19], [21].</w:t>
      </w:r>
    </w:p>
    <w:p>
      <w:pPr>
        <w:keepNext/>
        <w:spacing w:before="160" w:after="40" w:line="360" w:lineRule="auto"/>
        <w:ind w:firstLine="0"/>
        <w:jc w:val="both"/>
      </w:pPr>
      <w:r>
        <w:rPr>
          <w:rFonts w:ascii="Times New Roman" w:hAnsi="Times New Roman"/>
          <w:b/>
          <w:sz w:val="24"/>
        </w:rPr>
        <w:t>3. Pencegahan Risiko Pembusukan Akar (</w:t>
      </w:r>
      <w:r>
        <w:rPr>
          <w:rFonts w:ascii="Times New Roman" w:hAnsi="Times New Roman"/>
          <w:b/>
          <w:i/>
          <w:sz w:val="24"/>
        </w:rPr>
        <w:t>Phytophthora nicotianae</w:t>
      </w:r>
      <w:r>
        <w:rPr>
          <w:rFonts w:ascii="Times New Roman" w:hAnsi="Times New Roman"/>
          <w:b/>
          <w:sz w:val="24"/>
        </w:rPr>
        <w:t>)</w:t>
      </w:r>
    </w:p>
    <w:p>
      <w:pPr>
        <w:spacing w:before="0" w:after="120" w:line="360" w:lineRule="auto"/>
        <w:ind w:firstLine="562"/>
        <w:jc w:val="both"/>
      </w:pPr>
      <w:r>
        <w:rPr>
          <w:rFonts w:ascii="Times New Roman" w:hAnsi="Times New Roman"/>
          <w:b w:val="0"/>
          <w:sz w:val="24"/>
        </w:rPr>
        <w:t>Literatur patologi tanaman oleh Graham &amp; Timmer (2020) dan pedoman keseragaman Smajstrla dkk. (1997) mengingatkan bahwa kejenuhan air tanah yang berkepanjangan (</w:t>
      </w:r>
      <w:r>
        <w:rPr>
          <w:rFonts w:ascii="Times New Roman" w:hAnsi="Times New Roman"/>
          <w:b w:val="0"/>
          <w:i/>
          <w:sz w:val="24"/>
        </w:rPr>
        <w:t>waterlogging</w:t>
      </w:r>
      <w:r>
        <w:rPr>
          <w:rFonts w:ascii="Times New Roman" w:hAnsi="Times New Roman"/>
          <w:b w:val="0"/>
          <w:sz w:val="24"/>
        </w:rPr>
        <w:t xml:space="preserve"> &gt; 24–48 jam) akibat penggenangan parit tanah galian merupakan pemicu utama serangan jamur tanah </w:t>
      </w:r>
      <w:r>
        <w:rPr>
          <w:rFonts w:ascii="Times New Roman" w:hAnsi="Times New Roman"/>
          <w:b w:val="0"/>
          <w:i/>
          <w:sz w:val="24"/>
        </w:rPr>
        <w:t>Phytophthora nicotianae</w:t>
      </w:r>
      <w:r>
        <w:rPr>
          <w:rFonts w:ascii="Times New Roman" w:hAnsi="Times New Roman"/>
          <w:b w:val="0"/>
          <w:sz w:val="24"/>
        </w:rPr>
        <w:t xml:space="preserve"> dan </w:t>
      </w:r>
      <w:r>
        <w:rPr>
          <w:rFonts w:ascii="Times New Roman" w:hAnsi="Times New Roman"/>
          <w:b w:val="0"/>
          <w:i/>
          <w:sz w:val="24"/>
        </w:rPr>
        <w:t>Phytophthora palmivora</w:t>
      </w:r>
      <w:r>
        <w:rPr>
          <w:rFonts w:ascii="Times New Roman" w:hAnsi="Times New Roman"/>
          <w:b w:val="0"/>
          <w:sz w:val="24"/>
        </w:rPr>
        <w:t xml:space="preserve"> yang mengakibatkan pembusukan akar serabut serta penyakit blendok atau kanker pangkal batang. Oleh karena itu, spesifikasi pemberian air harus menjamin aerasi tanah tetap terjaga dan tidak menimbulkan genangan air terpusat lebih dari 30 menit pasca-siram [22], [23].</w:t>
      </w:r>
    </w:p>
    <w:p>
      <w:pPr>
        <w:keepNext/>
        <w:spacing w:before="240" w:after="80" w:line="360" w:lineRule="auto"/>
        <w:jc w:val="left"/>
      </w:pPr>
      <w:r>
        <w:rPr>
          <w:rFonts w:ascii="Times New Roman" w:hAnsi="Times New Roman"/>
          <w:b/>
          <w:sz w:val="24"/>
        </w:rPr>
        <w:t>1.1.4 Karakteristik Tapak Lahan Eksisting dan Keterbatasan Sumber Daya</w:t>
      </w:r>
    </w:p>
    <w:p>
      <w:pPr>
        <w:spacing w:before="0" w:after="120" w:line="360" w:lineRule="auto"/>
        <w:ind w:firstLine="562"/>
        <w:jc w:val="both"/>
      </w:pPr>
      <w:r>
        <w:rPr>
          <w:rFonts w:ascii="Times New Roman" w:hAnsi="Times New Roman"/>
          <w:b w:val="0"/>
          <w:sz w:val="24"/>
        </w:rPr>
        <w:t>Spesifikasi sistem rekayasa diselaraskan secara ketat dengan kendala fisik tapak kebun di Ciberes:</w:t>
      </w:r>
    </w:p>
    <w:p>
      <w:pPr>
        <w:keepNext/>
        <w:spacing w:before="160" w:after="40" w:line="360" w:lineRule="auto"/>
        <w:ind w:firstLine="0"/>
        <w:jc w:val="both"/>
      </w:pPr>
      <w:r>
        <w:rPr>
          <w:rFonts w:ascii="Times New Roman" w:hAnsi="Times New Roman"/>
          <w:b/>
          <w:sz w:val="24"/>
        </w:rPr>
        <w:t>1. Ketiadaan Akses Jaringan Listrik PLN</w:t>
      </w:r>
    </w:p>
    <w:p>
      <w:pPr>
        <w:spacing w:before="0" w:after="120" w:line="360" w:lineRule="auto"/>
        <w:ind w:firstLine="562"/>
        <w:jc w:val="both"/>
      </w:pPr>
      <w:r>
        <w:rPr>
          <w:rFonts w:ascii="Times New Roman" w:hAnsi="Times New Roman"/>
          <w:b w:val="0"/>
          <w:sz w:val="24"/>
        </w:rPr>
        <w:t>Kebun jeruk limau mitra terletak di bentang hamparan lahan persawahan pedesaan yang belum terjangkau tiang jaringan tegangan rendah PLN. Segala bentuk rancangan solusi rekayasa wajib bersifat mandiri energi (</w:t>
      </w:r>
      <w:r>
        <w:rPr>
          <w:rFonts w:ascii="Times New Roman" w:hAnsi="Times New Roman"/>
          <w:b w:val="0"/>
          <w:i/>
          <w:sz w:val="24"/>
        </w:rPr>
        <w:t>off-grid</w:t>
      </w:r>
      <w:r>
        <w:rPr>
          <w:rFonts w:ascii="Times New Roman" w:hAnsi="Times New Roman"/>
          <w:b w:val="0"/>
          <w:sz w:val="24"/>
        </w:rPr>
        <w:t>), mengandalkan pembangkit listrik tenaga surya (PLTS fotovoltaik) yang dipadukan dengan baterai penyimpan daya berdensitas tinggi atau penggerak mekanis hemat energi [9], [26], [28].</w:t>
      </w:r>
    </w:p>
    <w:p>
      <w:pPr>
        <w:keepNext/>
        <w:spacing w:before="160" w:after="40" w:line="360" w:lineRule="auto"/>
        <w:ind w:firstLine="0"/>
        <w:jc w:val="both"/>
      </w:pPr>
      <w:r>
        <w:rPr>
          <w:rFonts w:ascii="Times New Roman" w:hAnsi="Times New Roman"/>
          <w:b/>
          <w:sz w:val="24"/>
        </w:rPr>
        <w:t>2. Kekeruhan Air Sungai dan Sedimentasi Partikulat</w:t>
      </w:r>
    </w:p>
    <w:p>
      <w:pPr>
        <w:spacing w:before="0" w:after="120" w:line="360" w:lineRule="auto"/>
        <w:ind w:firstLine="562"/>
        <w:jc w:val="both"/>
      </w:pPr>
      <w:r>
        <w:rPr>
          <w:rFonts w:ascii="Times New Roman" w:hAnsi="Times New Roman"/>
          <w:b w:val="0"/>
          <w:sz w:val="24"/>
        </w:rPr>
        <w:t>Sumber air diambil dari aliran sungai/saluran irigasi primer berjarak 20,54 meter dari batas kebun. Air permukaan alami membawa beban padatan tersuspensi tinggi berupa pasir halus, lumpur liat sedimen, dan serpihan ganggang organik, terutama saat debit sungai menurun di musim kemarau. Mengacu pada studi kualitas air FAO-29 (Ayers &amp; Westcot, 1985), pedoman penyaringan Virginia Tech (Shortridge &amp; Benham, 2023), serta penelitian penyumbatan emiter oleh Bounoua dkk. (2016), Shen dkk. (2022), dan Lavanholi dkk. (2018), sistem wajib dilengkapi penyaring fisik berkerapatan minimal 120 mesh (mampu menahan partikel &gt;= 130 um) guna menjamin lubang emiter atau pipa penyalur tidak mengalami penyumbatan fisik emiter [13], [14], [15], [16], [17].</w:t>
      </w:r>
    </w:p>
    <w:p>
      <w:pPr>
        <w:keepNext/>
        <w:spacing w:before="160" w:after="40" w:line="360" w:lineRule="auto"/>
        <w:ind w:firstLine="0"/>
        <w:jc w:val="both"/>
      </w:pPr>
      <w:r>
        <w:rPr>
          <w:rFonts w:ascii="Times New Roman" w:hAnsi="Times New Roman"/>
          <w:b/>
          <w:sz w:val="24"/>
        </w:rPr>
        <w:t>3. Geometri Jaringan Parit dan Inefisiensi Saluran Tanah Konvensional</w:t>
      </w:r>
    </w:p>
    <w:p>
      <w:pPr>
        <w:spacing w:before="0" w:after="120" w:line="360" w:lineRule="auto"/>
        <w:ind w:firstLine="562"/>
        <w:jc w:val="both"/>
      </w:pPr>
      <w:r>
        <w:rPr>
          <w:rFonts w:ascii="Times New Roman" w:hAnsi="Times New Roman"/>
          <w:b w:val="0"/>
          <w:sz w:val="24"/>
        </w:rPr>
        <w:t>Kebun memiliki 3 lajur parit tanah longitudinal memanjang ~100 meter dengan parit melintang penghubung pada bentang lahan selebar 25–30 meter. Analisis irigasi permukaan Walker (1989) menunjukkan bahwa saluran tanah terbuka mengalami kehilangan air hingga 40–50% akibat rembesan lateral dan evaporasi bebas. Parit galian yang semula dibuat untuk memudahkan penimbaan air kini terbukti tidak efisien. Di sisi lain, riset terkini mengenai robotika dan otomasi penyiraman hortikultura (Elkaoud dkk., 2025; Li dkk., 2012) membuktikan bahwa lintasan kebun memanjang sangat berpotensi dilayani oleh jaringan perpipaan mikro maupun wahana penyiram bergerak otonom [18], [25], [28].</w:t>
      </w:r>
    </w:p>
    <w:p>
      <w:pPr>
        <w:keepNext/>
        <w:spacing w:before="280" w:after="120" w:line="360" w:lineRule="auto"/>
        <w:jc w:val="left"/>
      </w:pPr>
      <w:r>
        <w:rPr>
          <w:rFonts w:ascii="Times New Roman" w:hAnsi="Times New Roman"/>
          <w:b/>
          <w:sz w:val="24"/>
        </w:rPr>
        <w:t>1.2 Batasan dan Spesifikasi Solusi</w:t>
      </w:r>
    </w:p>
    <w:p>
      <w:pPr>
        <w:spacing w:before="0" w:after="120" w:line="360" w:lineRule="auto"/>
        <w:ind w:firstLine="562"/>
        <w:jc w:val="both"/>
      </w:pPr>
      <w:r>
        <w:rPr>
          <w:rFonts w:ascii="Times New Roman" w:hAnsi="Times New Roman"/>
          <w:b w:val="0"/>
          <w:sz w:val="24"/>
        </w:rPr>
        <w:t>Berdasarkan sintesis seluruh dasar pertimbangan multi-pilar di atas, bagian ini menetapkan batasan rekayasa dan matriks spesifikasi kuantitatif yang memandu perancangan sistem irigasi kebun jeruk limau.</w:t>
      </w:r>
    </w:p>
    <w:p>
      <w:pPr>
        <w:keepNext/>
        <w:spacing w:before="200" w:after="80" w:line="360" w:lineRule="auto"/>
        <w:jc w:val="left"/>
      </w:pPr>
      <w:r>
        <w:rPr>
          <w:rFonts w:ascii="Times New Roman" w:hAnsi="Times New Roman"/>
          <w:b/>
          <w:sz w:val="24"/>
        </w:rPr>
        <w:t>1.2.1 Batasan Rekayasa Solusi</w:t>
      </w:r>
    </w:p>
    <w:p>
      <w:pPr>
        <w:spacing w:before="0" w:after="120" w:line="360" w:lineRule="auto"/>
        <w:ind w:firstLine="562"/>
        <w:jc w:val="both"/>
      </w:pPr>
      <w:r>
        <w:rPr>
          <w:rFonts w:ascii="Times New Roman" w:hAnsi="Times New Roman"/>
          <w:b w:val="0"/>
          <w:sz w:val="24"/>
        </w:rPr>
        <w:t>Batasan rekayasa merupakan kondisi batas mutlak yang tidak dapat dilanggar oleh arsitektur solusi mana pun yang akan dirancang:</w:t>
      </w:r>
    </w:p>
    <w:p>
      <w:pPr>
        <w:keepNext/>
        <w:spacing w:before="160" w:after="40" w:line="360" w:lineRule="auto"/>
        <w:ind w:firstLine="0"/>
        <w:jc w:val="both"/>
      </w:pPr>
      <w:r>
        <w:rPr>
          <w:rFonts w:ascii="Times New Roman" w:hAnsi="Times New Roman"/>
          <w:b/>
          <w:sz w:val="24"/>
        </w:rPr>
        <w:t>C-01. Kemandirian Pasokan Energi</w:t>
      </w:r>
    </w:p>
    <w:p>
      <w:pPr>
        <w:spacing w:before="0" w:after="120" w:line="360" w:lineRule="auto"/>
        <w:ind w:firstLine="562"/>
        <w:jc w:val="both"/>
      </w:pPr>
      <w:r>
        <w:rPr>
          <w:rFonts w:ascii="Times New Roman" w:hAnsi="Times New Roman"/>
          <w:b w:val="0"/>
          <w:sz w:val="24"/>
        </w:rPr>
        <w:t>Sistem harus beroperasi 100% mandiri tanpa ketergantungan pada jaringan jala-jala listrik PLN (</w:t>
      </w:r>
      <w:r>
        <w:rPr>
          <w:rFonts w:ascii="Times New Roman" w:hAnsi="Times New Roman"/>
          <w:b w:val="0"/>
          <w:i/>
          <w:sz w:val="24"/>
        </w:rPr>
        <w:t>off-grid</w:t>
      </w:r>
      <w:r>
        <w:rPr>
          <w:rFonts w:ascii="Times New Roman" w:hAnsi="Times New Roman"/>
          <w:b w:val="0"/>
          <w:sz w:val="24"/>
        </w:rPr>
        <w:t>), memanfaatkan pasokan energi terbarukan lokal (seperti fotovoltaik surya) yang terintegrasi dengan modul penyimpan daya baterai.</w:t>
      </w:r>
    </w:p>
    <w:p>
      <w:pPr>
        <w:keepNext/>
        <w:spacing w:before="160" w:after="40" w:line="360" w:lineRule="auto"/>
        <w:ind w:firstLine="0"/>
        <w:jc w:val="both"/>
      </w:pPr>
      <w:r>
        <w:rPr>
          <w:rFonts w:ascii="Times New Roman" w:hAnsi="Times New Roman"/>
          <w:b/>
          <w:sz w:val="24"/>
        </w:rPr>
        <w:t>C-02. Kompatibilitas Sumber Air Permukaan Berpartikulat</w:t>
      </w:r>
    </w:p>
    <w:p>
      <w:pPr>
        <w:spacing w:before="0" w:after="120" w:line="360" w:lineRule="auto"/>
        <w:ind w:firstLine="562"/>
        <w:jc w:val="both"/>
      </w:pPr>
      <w:r>
        <w:rPr>
          <w:rFonts w:ascii="Times New Roman" w:hAnsi="Times New Roman"/>
          <w:b w:val="0"/>
          <w:sz w:val="24"/>
        </w:rPr>
        <w:t>Sistem harus mampu menyedot dan memproses air baku dari sungai/saluran irigasi terbuka berkekeruhan alami tanpa mengalami kegagalan pompa dan penyumbatan mekanis pada komponen distribusi fluida.</w:t>
      </w:r>
    </w:p>
    <w:p>
      <w:pPr>
        <w:keepNext/>
        <w:spacing w:before="160" w:after="40" w:line="360" w:lineRule="auto"/>
        <w:ind w:firstLine="0"/>
        <w:jc w:val="both"/>
      </w:pPr>
      <w:r>
        <w:rPr>
          <w:rFonts w:ascii="Times New Roman" w:hAnsi="Times New Roman"/>
          <w:b/>
          <w:sz w:val="24"/>
        </w:rPr>
        <w:t>C-03. Kompatibilitas Geometri, Batasan Skala Purwarupa, dan Skalabilitas Sistem</w:t>
      </w:r>
    </w:p>
    <w:p>
      <w:pPr>
        <w:spacing w:before="0" w:after="120" w:line="360" w:lineRule="auto"/>
        <w:ind w:firstLine="562"/>
        <w:jc w:val="both"/>
      </w:pPr>
      <w:r>
        <w:rPr>
          <w:rFonts w:ascii="Times New Roman" w:hAnsi="Times New Roman"/>
          <w:b w:val="0"/>
          <w:sz w:val="24"/>
        </w:rPr>
        <w:t>Sistem purwarupa fungsional Capstone diwajibkan beroperasi dan membuktikan kinerja penyiraman secara empiris pada petak uji representatif (</w:t>
      </w:r>
      <w:r>
        <w:rPr>
          <w:rFonts w:ascii="Times New Roman" w:hAnsi="Times New Roman"/>
          <w:b w:val="0"/>
          <w:i/>
          <w:sz w:val="24"/>
        </w:rPr>
        <w:t>pilot testbed</w:t>
      </w:r>
      <w:r>
        <w:rPr>
          <w:rFonts w:ascii="Times New Roman" w:hAnsi="Times New Roman"/>
          <w:b w:val="0"/>
          <w:sz w:val="24"/>
        </w:rPr>
        <w:t>) kebun jeruk limau mitra di Ciberes, yaitu sekurang-kurangnya 1 lajur barisan pohon percontohan (15–20 pohon pada bentang operasional &gt;= 25 meter) dengan kontur tanah parit pertanian terbuka. Di samping itu, rancang bangun arsitektur mekanikal, elektrikal, dan perpipaan/aktuator purwarupa wajib bersifat modular sehingga terbukti secara teknis dapat diskalakan (</w:t>
      </w:r>
      <w:r>
        <w:rPr>
          <w:rFonts w:ascii="Times New Roman" w:hAnsi="Times New Roman"/>
          <w:b w:val="0"/>
          <w:i/>
          <w:sz w:val="24"/>
        </w:rPr>
        <w:t>scalable</w:t>
      </w:r>
      <w:r>
        <w:rPr>
          <w:rFonts w:ascii="Times New Roman" w:hAnsi="Times New Roman"/>
          <w:b w:val="0"/>
          <w:sz w:val="24"/>
        </w:rPr>
        <w:t>) untuk mencakup populasi penuh 500–600 pohon pada lahan memanjang 100–117,52 meter seluas ~3.000 m² tanpa merusak batang tanaman, tajuk buah, maupun zona perakaran dangkal.</w:t>
      </w:r>
    </w:p>
    <w:p>
      <w:pPr>
        <w:keepNext/>
        <w:spacing w:before="160" w:after="40" w:line="360" w:lineRule="auto"/>
        <w:ind w:firstLine="0"/>
        <w:jc w:val="both"/>
      </w:pPr>
      <w:r>
        <w:rPr>
          <w:rFonts w:ascii="Times New Roman" w:hAnsi="Times New Roman"/>
          <w:b/>
          <w:sz w:val="24"/>
        </w:rPr>
        <w:t>C-04. Keselamatan Kelistrikan Area Terbuka Basah</w:t>
      </w:r>
    </w:p>
    <w:p>
      <w:pPr>
        <w:spacing w:before="0" w:after="120" w:line="360" w:lineRule="auto"/>
        <w:ind w:firstLine="562"/>
        <w:jc w:val="both"/>
      </w:pPr>
      <w:r>
        <w:rPr>
          <w:rFonts w:ascii="Times New Roman" w:hAnsi="Times New Roman"/>
          <w:b w:val="0"/>
          <w:sz w:val="24"/>
        </w:rPr>
        <w:t>Seluruh perangkat elektrikal, instrumentasi sensor, pengontrol, dan kabel transmisi yang dipasang di lingkungan kebun terbuka wajib beroperasi pada batas tegangan ekstra rendah aman (</w:t>
      </w:r>
      <w:r>
        <w:rPr>
          <w:rFonts w:ascii="Times New Roman" w:hAnsi="Times New Roman"/>
          <w:b w:val="0"/>
          <w:i/>
          <w:sz w:val="24"/>
        </w:rPr>
        <w:t>Safety Extra-Low Voltage</w:t>
      </w:r>
      <w:r>
        <w:rPr>
          <w:rFonts w:ascii="Times New Roman" w:hAnsi="Times New Roman"/>
          <w:b w:val="0"/>
          <w:sz w:val="24"/>
        </w:rPr>
        <w:t xml:space="preserve"> / SELV &lt;= 48 V DC) sesuai standar IEC 60364-4-41.</w:t>
      </w:r>
    </w:p>
    <w:p>
      <w:pPr>
        <w:keepNext/>
        <w:spacing w:before="160" w:after="40" w:line="360" w:lineRule="auto"/>
        <w:ind w:firstLine="0"/>
        <w:jc w:val="both"/>
      </w:pPr>
      <w:r>
        <w:rPr>
          <w:rFonts w:ascii="Times New Roman" w:hAnsi="Times New Roman"/>
          <w:b/>
          <w:sz w:val="24"/>
        </w:rPr>
        <w:t>C-05. Netralitas Solusi Rekayasa</w:t>
      </w:r>
    </w:p>
    <w:p>
      <w:pPr>
        <w:spacing w:before="0" w:after="120" w:line="360" w:lineRule="auto"/>
        <w:ind w:firstLine="562"/>
        <w:jc w:val="both"/>
      </w:pPr>
      <w:r>
        <w:rPr>
          <w:rFonts w:ascii="Times New Roman" w:hAnsi="Times New Roman"/>
          <w:b w:val="0"/>
          <w:sz w:val="24"/>
        </w:rPr>
        <w:t>Perumusan batasan dan spesifikasi dirancang secara fungsional tanpa mengunci rancangan pada satu opsi arsitektur atau merek komponen tertentu (</w:t>
      </w:r>
      <w:r>
        <w:rPr>
          <w:rFonts w:ascii="Times New Roman" w:hAnsi="Times New Roman"/>
          <w:b w:val="0"/>
          <w:i/>
          <w:sz w:val="24"/>
        </w:rPr>
        <w:t>solution-agnostic</w:t>
      </w:r>
      <w:r>
        <w:rPr>
          <w:rFonts w:ascii="Times New Roman" w:hAnsi="Times New Roman"/>
          <w:b w:val="0"/>
          <w:sz w:val="24"/>
        </w:rPr>
        <w:t>), memberikan fleksibilitas penuh untuk mengevaluasi alternatif jaringan perpipaan mikro, wahana bergerak mandiri, maupun sistem modular pada tahap CD-3.</w:t>
      </w:r>
    </w:p>
    <w:p>
      <w:pPr>
        <w:keepNext/>
        <w:spacing w:before="240" w:after="80" w:line="360" w:lineRule="auto"/>
        <w:jc w:val="left"/>
      </w:pPr>
      <w:r>
        <w:rPr>
          <w:rFonts w:ascii="Times New Roman" w:hAnsi="Times New Roman"/>
          <w:b/>
          <w:sz w:val="24"/>
        </w:rPr>
        <w:t>1.2.2 Spesifikasi Kuantitatif Solusi</w:t>
      </w:r>
    </w:p>
    <w:p>
      <w:pPr>
        <w:spacing w:before="0" w:after="120" w:line="360" w:lineRule="auto"/>
        <w:ind w:firstLine="562"/>
        <w:jc w:val="both"/>
      </w:pPr>
      <w:r>
        <w:rPr>
          <w:rFonts w:ascii="Times New Roman" w:hAnsi="Times New Roman"/>
          <w:b w:val="0"/>
          <w:sz w:val="24"/>
        </w:rPr>
        <w:t>Spesifikasi kuantitatif dirumuskan ke dalam empat kategori aspek menyeluruh: teknis, ekonomi, lingkungan, dan operasional/kemitraan. Matriks lengkap spesifikasi kuantitatif disajikan pada Tabel 3, yang diikuti oleh deskripsi penjelasan teknis pada masing-masing parameternya.</w:t>
      </w:r>
    </w:p>
    <w:p>
      <w:pPr>
        <w:keepNext/>
        <w:spacing w:before="200" w:after="80" w:line="276" w:lineRule="auto"/>
        <w:jc w:val="center"/>
      </w:pPr>
      <w:r>
        <w:rPr>
          <w:rFonts w:ascii="Times New Roman" w:hAnsi="Times New Roman"/>
          <w:b/>
          <w:sz w:val="22"/>
        </w:rPr>
        <w:t>Tabel 3. Matriks Batasan dan Spesifikasi Kuantitatif Solusi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Parameter Spesifikasi</w:t>
            </w:r>
          </w:p>
        </w:tc>
        <w:tc>
          <w:tcPr>
            <w:tcW w:type="dxa" w:w="187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Nilai Target &amp; Toleransi</w:t>
            </w:r>
          </w:p>
        </w:tc>
        <w:tc>
          <w:tcPr>
            <w:tcW w:type="dxa" w:w="115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Satuan</w:t>
            </w:r>
          </w:p>
        </w:tc>
        <w:tc>
          <w:tcPr>
            <w:tcW w:type="dxa" w:w="144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Kategori Aspek</w:t>
            </w:r>
          </w:p>
        </w:tc>
        <w:tc>
          <w:tcPr>
            <w:tcW w:type="dxa" w:w="216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Rujukan Penentuan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Akurasi Dosis Volume Air per Pohon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10 - 15 +- 5%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Liter/pohon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Wawancara Mitra [31], FAO-56 [1], Florida [21], Pereira [19]</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Koefisien Keseragaman Distribusi (CU)</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ANSI/ASAE S398.1, EP405.1 [2], [3], Smajstrla [23]</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Total Siklus Penyiraman Kebun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4,0 (Skala penuh)</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Jam/siklus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Batas Waktu Operasi Harian Mitra, Elkaoud [25]</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Radius dan Kedalaman Pembasahan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r = 0,5 - 0,8; d = 20 - 40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cm</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Morfologi Perakaran Jeruk Limau Budiarto [20], Obreza [24]</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S-05</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Derajat Filtrasi Fisik Partikulat</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120 (saring &lt;= 130)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mesh (um)</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Kualitas Air FAO-29 [13], Shortridge [14], Bounoua [15], Lavanholi [17]</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S-06</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Cadangan Energi Mandiri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 (min. 2 siklus penuh)</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Jam operasi</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IEC 62124 [9], Hartung &amp; Pluschke [27], Nurwidiana [26]</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S-07</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Lingkungan Selungkup</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IP65 (Suhu: 20 - 55)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Rating (deg C)</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IEC 60529 / SNI IEC 60529 [4], [5]</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S-08</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Plafon Biaya Modal Purwarupa &amp; Skala Penuh</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Purwarupa &lt;= 5.000.000; Penuh &lt;= 18.000.000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Rupiah (Rp)</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Pagu Anggaran Riset Mahasiswa &amp; Analisis Modal Tani [30]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S-09</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Operasional Siklus (OPEX)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50.000 (Hemat &gt;= 87,5%)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Rupiah (Rp)</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Biaya Upah Manual Eksisting (Rp400.000/siklus), Mitra [31]</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S-10</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Periode Pengembalian Modal</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12 - 18</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Bulan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Skenario Penghematan Rp48,7 Juta/Tahun, Durga [30]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Efisiensi Aplikasi Air Irigasi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Lingkungan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PP No. 20/2006 [6], Permentan 49/2014 [7], ISO 9261 [8], Walker [18]</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Emisi Gas Buang di Zona Tajuk</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0 (Bebas emisi hidrokarbon)</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g/kWh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Lingkungan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Proteksi Tanah Perakaran dari Residu Pertalite &amp; Overheat Pompa</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Kemudahan Pengoperasian Mitra</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Tombol Tunggal (Ajar &lt;= 30)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Menit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Operasional</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Profil Tenaga Kerja Lokal Kebun Ciberes, Usability Testing</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Pemeliharaan Rutin Saringan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20 (Perkakas lokal)</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Menit/bulan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Operasional</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Keterbatasan Bengkel Khusus Pedesaan, Prosedur Shortridge [14]</w:t>
            </w:r>
          </w:p>
        </w:tc>
      </w:tr>
    </w:tbl>
    <w:p>
      <w:pPr>
        <w:keepNext/>
        <w:spacing w:before="160" w:after="40" w:line="360" w:lineRule="auto"/>
        <w:ind w:firstLine="0"/>
        <w:jc w:val="both"/>
      </w:pPr>
      <w:r>
        <w:rPr>
          <w:rFonts w:ascii="Times New Roman" w:hAnsi="Times New Roman"/>
          <w:b/>
          <w:sz w:val="24"/>
        </w:rPr>
        <w:t>S-01. Akurasi Dosis Volume Air per Pohon</w:t>
      </w:r>
    </w:p>
    <w:p>
      <w:pPr>
        <w:spacing w:before="0" w:after="120" w:line="360" w:lineRule="auto"/>
        <w:ind w:firstLine="562"/>
        <w:jc w:val="both"/>
      </w:pPr>
      <w:r>
        <w:rPr>
          <w:rFonts w:ascii="Times New Roman" w:hAnsi="Times New Roman"/>
          <w:b w:val="0"/>
          <w:sz w:val="24"/>
        </w:rPr>
        <w:t>Sistem harus mampu menyalurkan volume air terukur antara 10 hingga 15 Liter untuk tiap tanaman jeruk limau dengan batas simpangan toleransi kesalahan tidak lebih dari +- 5%. Nilai kuantitatif ini menjamin tanaman terhidrasi sesuai laju evapotranspirasi lingkungan tanpa risiko pemberian air berlebih yang memboroskan sumber daya air.</w:t>
      </w:r>
    </w:p>
    <w:p>
      <w:pPr>
        <w:keepNext/>
        <w:spacing w:before="160" w:after="40" w:line="360" w:lineRule="auto"/>
        <w:ind w:firstLine="0"/>
        <w:jc w:val="both"/>
      </w:pPr>
      <w:r>
        <w:rPr>
          <w:rFonts w:ascii="Times New Roman" w:hAnsi="Times New Roman"/>
          <w:b/>
          <w:sz w:val="24"/>
        </w:rPr>
        <w:t>S-02. Koefisien Keseragaman Distribusi Air (CU)</w:t>
      </w:r>
    </w:p>
    <w:p>
      <w:pPr>
        <w:spacing w:before="0" w:after="120" w:line="360" w:lineRule="auto"/>
        <w:ind w:firstLine="562"/>
        <w:jc w:val="both"/>
      </w:pPr>
      <w:r>
        <w:rPr>
          <w:rFonts w:ascii="Times New Roman" w:hAnsi="Times New Roman"/>
          <w:b w:val="0"/>
          <w:sz w:val="24"/>
        </w:rPr>
        <w:t>Mengacu pada standar ANSI/ASAE S398.1 dan ASAE EP405.1, keseragaman volume air yang diterima oleh pohon di awal, tengah, dan ujung barisan parit harus mencapai minimal 85%. Evaluasi keseragaman distribusi air dihitung menggunakan formula Koefisien Keseragaman Christiansen (CU) (Persamaan 3) [2], [3]:</w:t>
      </w:r>
    </w:p>
    <w:p>
      <w:pPr>
        <w:keepNext/>
        <w:spacing w:before="80" w:after="80" w:line="240" w:lineRule="auto"/>
        <w:jc w:val="center"/>
      </w:pPr>
      <m:oMathPara>
        <m:oMath>
          <m:r>
            <m:rPr>
              <m:sty m:val="i"/>
            </m:rPr>
            <m:t>CU</m:t>
          </m:r>
          <m:r>
            <m:t> = 100% × </m:t>
          </m:r>
          <m:d>
            <m:dPr>
              <m:begChr m:val="["/>
              <m:endChr m:val="]"/>
            </m:dPr>
            <m:e>
              <m:r>
                <m:t>1 - </m:t>
              </m:r>
              <m:f>
                <m:num>
                  <m:nary>
                    <m:naryPr>
                      <m:chr m:val="∑"/>
                      <m:limLoc m:val="undOvr"/>
                    </m:naryPr>
                    <m:sub>
                      <m:r>
                        <m:rPr>
                          <m:sty m:val="i"/>
                        </m:rPr>
                        <m:t>i</m:t>
                      </m:r>
                      <m:r>
                        <m:t>=1</m:t>
                      </m:r>
                    </m:sub>
                    <m:sup>
                      <m:r>
                        <m:rPr>
                          <m:sty m:val="i"/>
                        </m:rPr>
                        <m:t>n</m:t>
                      </m:r>
                    </m:sup>
                    <m:e>
                      <m:d>
                        <m:dPr>
                          <m:begChr m:val="|"/>
                          <m:endChr m:val="|"/>
                        </m:dPr>
                        <m:e>
                          <m:sSub>
                            <m:e>
                              <m:r>
                                <m:rPr>
                                  <m:sty m:val="i"/>
                                </m:rPr>
                                <m:t>X</m:t>
                              </m:r>
                            </m:e>
                            <m:sub>
                              <m:r>
                                <m:rPr>
                                  <m:sty m:val="i"/>
                                </m:rPr>
                                <m:t>i</m:t>
                              </m:r>
                            </m:sub>
                          </m:sSub>
                          <m:r>
                            <m:t> - </m:t>
                          </m:r>
                          <m:acc>
                            <m:accPr>
                              <m:chr m:val="̄"/>
                            </m:accPr>
                            <m:e>
                              <m:r>
                                <m:rPr>
                                  <m:sty m:val="i"/>
                                </m:rPr>
                                <m:t>X</m:t>
                              </m:r>
                            </m:e>
                          </m:acc>
                        </m:e>
                      </m:d>
                    </m:e>
                  </m:nary>
                </m:num>
                <m:den>
                  <m:r>
                    <m:rPr>
                      <m:sty m:val="i"/>
                    </m:rPr>
                    <m:t>n</m:t>
                  </m:r>
                  <m:r>
                    <m:t> × </m:t>
                  </m:r>
                  <m:acc>
                    <m:accPr>
                      <m:chr m:val="̄"/>
                    </m:accPr>
                    <m:e>
                      <m:r>
                        <m:rPr>
                          <m:sty m:val="i"/>
                        </m:rPr>
                        <m:t>X</m:t>
                      </m:r>
                    </m:e>
                  </m:acc>
                </m:den>
              </m:f>
            </m:e>
          </m:d>
        </m:oMath>
      </m:oMathPara>
    </w:p>
    <w:p>
      <w:pPr>
        <w:spacing w:before="0" w:after="120" w:line="360" w:lineRule="auto"/>
        <w:ind w:firstLine="562"/>
        <w:jc w:val="both"/>
      </w:pPr>
      <w:r>
        <w:rPr>
          <w:rFonts w:ascii="Times New Roman" w:hAnsi="Times New Roman"/>
          <w:b w:val="0"/>
          <w:sz w:val="24"/>
        </w:rPr>
        <w:t>Di mana CU adalah Koefisien Keseragaman Christiansen (%), n adalah jumlah pohon sampel uji (n = 15 bejana), Xi adalah volume air tertampung pada bejana sampel ke-i (Liter), dan X_bar adalah rata-rata volume air dari seluruh bejana sampel. Nilai keseragaman CU &gt;= 85% menjamin pertumbuhan seluruh pohon jeruk limau tetap homogen tanpa adanya pohon yang mengalami kekeringan ekstrem atau pembusukan akar.</w:t>
      </w:r>
    </w:p>
    <w:p>
      <w:pPr>
        <w:keepNext/>
        <w:spacing w:before="160" w:after="40" w:line="360" w:lineRule="auto"/>
        <w:ind w:firstLine="0"/>
        <w:jc w:val="both"/>
      </w:pPr>
      <w:r>
        <w:rPr>
          <w:rFonts w:ascii="Times New Roman" w:hAnsi="Times New Roman"/>
          <w:b/>
          <w:sz w:val="24"/>
        </w:rPr>
        <w:t>S-03. Durasi Total Siklus Penyiraman Kebun</w:t>
      </w:r>
    </w:p>
    <w:p>
      <w:pPr>
        <w:spacing w:before="0" w:after="120" w:line="360" w:lineRule="auto"/>
        <w:ind w:firstLine="562"/>
        <w:jc w:val="both"/>
      </w:pPr>
      <w:r>
        <w:rPr>
          <w:rFonts w:ascii="Times New Roman" w:hAnsi="Times New Roman"/>
          <w:b w:val="0"/>
          <w:sz w:val="24"/>
        </w:rPr>
        <w:t>Seluruh proses penyiraman untuk 500–600 pohon pada skala penuh harus dapat dituntaskan dalam waktu kurang dari atau sama dengan 4 jam per siklus kegiatan (ekuivalen laju siram rata-rata &lt;= 24–28 detik per pohon, atau durasi &lt;= 8–10 menit untuk 15–20 pohon percontohan pada purwarupa uji). Hal ini memberikan efisiensi waktu yang masif dibandingkan metode manual 4 orang buruh yang menyita waktu seharian penuh, serta memanfaatkan waktu siram ideal (pagi hari sebelum pukul 10.00 WIB atau sore hari setelah pukul 15.00 WIB) guna meminimalkan kehilangan air akibat evaporasi radiasi matahari langsung [25].</w:t>
      </w:r>
    </w:p>
    <w:p>
      <w:pPr>
        <w:keepNext/>
        <w:spacing w:before="160" w:after="40" w:line="360" w:lineRule="auto"/>
        <w:ind w:firstLine="0"/>
        <w:jc w:val="both"/>
      </w:pPr>
      <w:r>
        <w:rPr>
          <w:rFonts w:ascii="Times New Roman" w:hAnsi="Times New Roman"/>
          <w:b/>
          <w:sz w:val="24"/>
        </w:rPr>
        <w:t>S-04. Radius dan Kedalaman Pembasahan Efektif</w:t>
      </w:r>
    </w:p>
    <w:p>
      <w:pPr>
        <w:spacing w:before="0" w:after="120" w:line="360" w:lineRule="auto"/>
        <w:ind w:firstLine="562"/>
        <w:jc w:val="both"/>
      </w:pPr>
      <w:r>
        <w:rPr>
          <w:rFonts w:ascii="Times New Roman" w:hAnsi="Times New Roman"/>
          <w:b w:val="0"/>
          <w:sz w:val="24"/>
        </w:rPr>
        <w:t>Air irigasi diarahkan meresap pada area proyeksi kanopi tanaman dengan radius 0,5–0,8 m dari pangkal batang hingga mencapai kedalaman profil tanah 20–40 cm. Distribusi air yang terkonsentrasi pada zona perakaran aktif serabut menghindarkan pembasahan batang utama yang rentan jamur batang serta tidak membasahi area jalan antar-baris secara sia-sia [20], [24].</w:t>
      </w:r>
    </w:p>
    <w:p>
      <w:pPr>
        <w:keepNext/>
        <w:spacing w:before="160" w:after="40" w:line="360" w:lineRule="auto"/>
        <w:ind w:firstLine="0"/>
        <w:jc w:val="both"/>
      </w:pPr>
      <w:r>
        <w:rPr>
          <w:rFonts w:ascii="Times New Roman" w:hAnsi="Times New Roman"/>
          <w:b/>
          <w:sz w:val="24"/>
        </w:rPr>
        <w:t>S-05. Derajat Filtrasi Fisik Partikulat</w:t>
      </w:r>
    </w:p>
    <w:p>
      <w:pPr>
        <w:spacing w:before="0" w:after="120" w:line="360" w:lineRule="auto"/>
        <w:ind w:firstLine="562"/>
        <w:jc w:val="both"/>
      </w:pPr>
      <w:r>
        <w:rPr>
          <w:rFonts w:ascii="Times New Roman" w:hAnsi="Times New Roman"/>
          <w:b w:val="0"/>
          <w:sz w:val="24"/>
        </w:rPr>
        <w:t>Untuk mengatasi kekeruhan air sungai Ciberes, sistem wajib dilengkapi dengan saringan partikulat dengan kerapatan minimal 120 mesh (mampu menyaring partikel berdiameter &gt;= 130 um). Hal ini merupakan syarat wajib untuk mencegah terjadinya penyumbatan mekanis pada emiter, lubang nozzle, katup pengontrol, dan impeller pompa air mikro [13], [14], [15], [17].</w:t>
      </w:r>
    </w:p>
    <w:p>
      <w:pPr>
        <w:keepNext/>
        <w:spacing w:before="160" w:after="40" w:line="360" w:lineRule="auto"/>
        <w:ind w:firstLine="0"/>
        <w:jc w:val="both"/>
      </w:pPr>
      <w:r>
        <w:rPr>
          <w:rFonts w:ascii="Times New Roman" w:hAnsi="Times New Roman"/>
          <w:b/>
          <w:sz w:val="24"/>
        </w:rPr>
        <w:t>S-06. Ketahanan Cadangan Energi Mandiri</w:t>
      </w:r>
    </w:p>
    <w:p>
      <w:pPr>
        <w:spacing w:before="0" w:after="120" w:line="360" w:lineRule="auto"/>
        <w:ind w:firstLine="562"/>
        <w:jc w:val="both"/>
      </w:pPr>
      <w:r>
        <w:rPr>
          <w:rFonts w:ascii="Times New Roman" w:hAnsi="Times New Roman"/>
          <w:b w:val="0"/>
          <w:sz w:val="24"/>
        </w:rPr>
        <w:t>Subsistem daya mandiri (</w:t>
      </w:r>
      <w:r>
        <w:rPr>
          <w:rFonts w:ascii="Times New Roman" w:hAnsi="Times New Roman"/>
          <w:b w:val="0"/>
          <w:i/>
          <w:sz w:val="24"/>
        </w:rPr>
        <w:t>off-grid</w:t>
      </w:r>
      <w:r>
        <w:rPr>
          <w:rFonts w:ascii="Times New Roman" w:hAnsi="Times New Roman"/>
          <w:b w:val="0"/>
          <w:sz w:val="24"/>
        </w:rPr>
        <w:t>) harus mampu menyuplai kebutuhan daya operasional beban penuh selama minimal 8 jam kerja kontinu tanpa kehadiran cahaya matahari langsung (setara dengan cadangan daya untuk minimal 2 siklus penyiraman lengkap). Mengacu pada standar IEC 62124 dan pedoman PLTS FAO (Hartung &amp; Pluschke, 2018), konsumsi energi operasional per siklus penyiraman (Esiklus) dan kapasitas minimum modul penyimpan daya (Cbaterai) dihitung melalui Persamaan 4 dan Persamaan 5 [9], [27]:</w:t>
      </w:r>
    </w:p>
    <w:p>
      <w:pPr>
        <w:keepNext/>
        <w:spacing w:before="80" w:after="80" w:line="240" w:lineRule="auto"/>
        <w:jc w:val="center"/>
      </w:pPr>
      <m:oMathPara>
        <m:oMath>
          <m:sSub>
            <m:e>
              <m:r>
                <m:rPr>
                  <m:sty m:val="i"/>
                </m:rPr>
                <m:t>E</m:t>
              </m:r>
            </m:e>
            <m:sub>
              <m:r>
                <m:rPr>
                  <m:sty m:val="i"/>
                </m:rPr>
                <m:t>siklus</m:t>
              </m:r>
            </m:sub>
          </m:sSub>
          <m:r>
            <m:t> = </m:t>
          </m:r>
          <m:sSub>
            <m:e>
              <m:r>
                <m:rPr>
                  <m:sty m:val="i"/>
                </m:rPr>
                <m:t>P</m:t>
              </m:r>
            </m:e>
            <m:sub>
              <m:r>
                <m:rPr>
                  <m:sty m:val="i"/>
                </m:rPr>
                <m:t>beban</m:t>
              </m:r>
            </m:sub>
          </m:sSub>
          <m:r>
            <m:t> × </m:t>
          </m:r>
          <m:sSub>
            <m:e>
              <m:r>
                <m:rPr>
                  <m:sty m:val="i"/>
                </m:rPr>
                <m:t>t</m:t>
              </m:r>
            </m:e>
            <m:sub>
              <m:r>
                <m:rPr>
                  <m:sty m:val="i"/>
                </m:rPr>
                <m:t>operasi</m:t>
              </m:r>
            </m:sub>
          </m:sSub>
        </m:oMath>
      </m:oMathPara>
    </w:p>
    <w:p>
      <w:pPr>
        <w:keepNext/>
        <w:spacing w:before="80" w:after="80" w:line="240" w:lineRule="auto"/>
        <w:jc w:val="center"/>
      </w:pPr>
      <m:oMathPara>
        <m:oMath>
          <m:sSub>
            <m:e>
              <m:r>
                <m:rPr>
                  <m:sty m:val="i"/>
                </m:rPr>
                <m:t>C</m:t>
              </m:r>
            </m:e>
            <m:sub>
              <m:r>
                <m:rPr>
                  <m:sty m:val="i"/>
                </m:rPr>
                <m:t>baterai</m:t>
              </m:r>
            </m:sub>
          </m:sSub>
          <m:r>
            <m:t> = </m:t>
          </m:r>
          <m:f>
            <m:num>
              <m:sSub>
                <m:e>
                  <m:r>
                    <m:rPr>
                      <m:sty m:val="i"/>
                    </m:rPr>
                    <m:t>E</m:t>
                  </m:r>
                </m:e>
                <m:sub>
                  <m:r>
                    <m:rPr>
                      <m:sty m:val="i"/>
                    </m:rPr>
                    <m:t>siklus</m:t>
                  </m:r>
                </m:sub>
              </m:sSub>
              <m:r>
                <m:t> × </m:t>
              </m:r>
              <m:sSub>
                <m:e>
                  <m:r>
                    <m:rPr>
                      <m:sty m:val="i"/>
                    </m:rPr>
                    <m:t>N</m:t>
                  </m:r>
                </m:e>
                <m:sub>
                  <m:r>
                    <m:rPr>
                      <m:sty m:val="i"/>
                    </m:rPr>
                    <m:t>autonomy</m:t>
                  </m:r>
                </m:sub>
              </m:sSub>
            </m:num>
            <m:den>
              <m:sSub>
                <m:e>
                  <m:r>
                    <m:rPr>
                      <m:sty m:val="i"/>
                    </m:rPr>
                    <m:t>V</m:t>
                  </m:r>
                </m:e>
                <m:sub>
                  <m:r>
                    <m:rPr>
                      <m:sty m:val="i"/>
                    </m:rPr>
                    <m:t>sistem</m:t>
                  </m:r>
                </m:sub>
              </m:sSub>
              <m:r>
                <m:t> × </m:t>
              </m:r>
              <m:r>
                <m:rPr>
                  <m:sty m:val="i"/>
                </m:rPr>
                <m:t>DoD</m:t>
              </m:r>
            </m:den>
          </m:f>
        </m:oMath>
      </m:oMathPara>
    </w:p>
    <w:p>
      <w:pPr>
        <w:spacing w:before="0" w:after="120" w:line="360" w:lineRule="auto"/>
        <w:ind w:firstLine="562"/>
        <w:jc w:val="both"/>
      </w:pPr>
      <w:r>
        <w:rPr>
          <w:rFonts w:ascii="Times New Roman" w:hAnsi="Times New Roman"/>
          <w:b w:val="0"/>
          <w:sz w:val="24"/>
        </w:rPr>
        <w:t>Di mana Esiklus adalah energi operasional satu siklus (Wh), Pbeban adalah total daya pompa dan kontroler (Watt), toperasi adalah durasi kerja satu siklus (&lt;= 4 jam), Nautonomy adalah faktor otonomi cadangan (&gt;= 2 siklus = 8 jam), Vsistem adalah tegangan kerja ekstra rendah aman (12 V DC atau 24 V DC), dan DoD adalah kedalaman pelepasan daya aman baterai (</w:t>
      </w:r>
      <w:r>
        <w:rPr>
          <w:rFonts w:ascii="Times New Roman" w:hAnsi="Times New Roman"/>
          <w:b w:val="0"/>
          <w:i/>
          <w:sz w:val="24"/>
        </w:rPr>
        <w:t>depth of discharge</w:t>
      </w:r>
      <w:r>
        <w:rPr>
          <w:rFonts w:ascii="Times New Roman" w:hAnsi="Times New Roman"/>
          <w:b w:val="0"/>
          <w:sz w:val="24"/>
        </w:rPr>
        <w:t>, DoD = 80% untuk LiFePO4). Hal ini menjamin keandalan operasi pompa tetap prima saat cuaca berawan berturut-turut.</w:t>
      </w:r>
    </w:p>
    <w:p>
      <w:pPr>
        <w:keepNext/>
        <w:spacing w:before="160" w:after="40" w:line="360" w:lineRule="auto"/>
        <w:ind w:firstLine="0"/>
        <w:jc w:val="both"/>
      </w:pPr>
      <w:r>
        <w:rPr>
          <w:rFonts w:ascii="Times New Roman" w:hAnsi="Times New Roman"/>
          <w:b/>
          <w:sz w:val="24"/>
        </w:rPr>
        <w:t>S-07. Ketahanan Lingkungan Selungkup</w:t>
      </w:r>
    </w:p>
    <w:p>
      <w:pPr>
        <w:spacing w:before="0" w:after="120" w:line="360" w:lineRule="auto"/>
        <w:ind w:firstLine="562"/>
        <w:jc w:val="both"/>
      </w:pPr>
      <w:r>
        <w:rPr>
          <w:rFonts w:ascii="Times New Roman" w:hAnsi="Times New Roman"/>
          <w:b w:val="0"/>
          <w:sz w:val="24"/>
        </w:rPr>
        <w:t>Seluruh kotak pelindung kontroler, konektor kelistrikan, papan modul sensor, dan unit catu daya wajib bersertifikasi minimal IP65 serta mampu bekerja normal pada rentang suhu ambien 20 deg C hingga 55 deg C. Selungkup harus tahan terhadap terpaan panas matahari tropis Subang, percikan lumpur tanah, dan semprotan air saat pembersihan kebun [4], [5].</w:t>
      </w:r>
    </w:p>
    <w:p>
      <w:pPr>
        <w:keepNext/>
        <w:spacing w:before="160" w:after="40" w:line="360" w:lineRule="auto"/>
        <w:ind w:firstLine="0"/>
        <w:jc w:val="both"/>
      </w:pPr>
      <w:r>
        <w:rPr>
          <w:rFonts w:ascii="Times New Roman" w:hAnsi="Times New Roman"/>
          <w:b/>
          <w:sz w:val="24"/>
        </w:rPr>
        <w:t>S-08. Plafon Biaya Investasi Awal Purwarupa dan Proyeksi Skala Penuh (CAPEX)</w:t>
      </w:r>
    </w:p>
    <w:p>
      <w:pPr>
        <w:spacing w:before="0" w:after="120" w:line="360" w:lineRule="auto"/>
        <w:ind w:firstLine="562"/>
        <w:jc w:val="both"/>
      </w:pPr>
      <w:r>
        <w:rPr>
          <w:rFonts w:ascii="Times New Roman" w:hAnsi="Times New Roman"/>
          <w:b w:val="0"/>
          <w:sz w:val="24"/>
        </w:rPr>
        <w:t>Spesifikasi biaya investasi awal dibedakan secara tegas ke dalam dua tingkatan akuntabilitas rekayasa: (a) Plafon Biaya Modal Purwarupa Mahasiswa (</w:t>
      </w:r>
      <w:r>
        <w:rPr>
          <w:rFonts w:ascii="Times New Roman" w:hAnsi="Times New Roman"/>
          <w:b w:val="0"/>
          <w:i/>
          <w:sz w:val="24"/>
        </w:rPr>
        <w:t>Prototyping CAPEX</w:t>
      </w:r>
      <w:r>
        <w:rPr>
          <w:rFonts w:ascii="Times New Roman" w:hAnsi="Times New Roman"/>
          <w:b w:val="0"/>
          <w:sz w:val="24"/>
        </w:rPr>
        <w:t>): Realisasi pengadaan modul elektronika, pompa mikro, instrumentasi sensor, baterai, panel surya uji, dan fabrikasi struktural purwarupa fungsional untuk petak uji percontohan (15–20 pohon) dibatasi maksimal Rp5.000.000. Plafon ini sangat realistis dan terjangkau bagi pembiayaan mandiri maupun hibah tugas akhir mahasiswa tanpa mengurangi validitas pengujian fungsional di lapangan. (b) Proyeksi Biaya Implementasi Skala Penuh Kebun (</w:t>
      </w:r>
      <w:r>
        <w:rPr>
          <w:rFonts w:ascii="Times New Roman" w:hAnsi="Times New Roman"/>
          <w:b w:val="0"/>
          <w:i/>
          <w:sz w:val="24"/>
        </w:rPr>
        <w:t>Full-Scale Commercial CAPEX</w:t>
      </w:r>
      <w:r>
        <w:rPr>
          <w:rFonts w:ascii="Times New Roman" w:hAnsi="Times New Roman"/>
          <w:b w:val="0"/>
          <w:sz w:val="24"/>
        </w:rPr>
        <w:t>): Berdasarkan estimasi perbanyakan modular untuk melayani seluruh 500–600 pohon di lahan ~3.000 m², batas atas biaya pengadaan perangkat dan instalasi komersial ditetapkan maksimal Rp18.000.000. Angka batas atas komersial ini dihitung berdasarkan alokasi modal usaha tani kebun mitra agar memenuhi kriteria pengembalian modal investasi yang rasional (S-10) [30], [31].</w:t>
      </w:r>
    </w:p>
    <w:p>
      <w:pPr>
        <w:keepNext/>
        <w:spacing w:before="160" w:after="40" w:line="360" w:lineRule="auto"/>
        <w:ind w:firstLine="0"/>
        <w:jc w:val="both"/>
      </w:pPr>
      <w:r>
        <w:rPr>
          <w:rFonts w:ascii="Times New Roman" w:hAnsi="Times New Roman"/>
          <w:b/>
          <w:sz w:val="24"/>
        </w:rPr>
        <w:t>S-09. Biaya Operasional per Siklus Penyiraman (OPEX)</w:t>
      </w:r>
    </w:p>
    <w:p>
      <w:pPr>
        <w:spacing w:before="0" w:after="120" w:line="360" w:lineRule="auto"/>
        <w:ind w:firstLine="562"/>
        <w:jc w:val="both"/>
      </w:pPr>
      <w:r>
        <w:rPr>
          <w:rFonts w:ascii="Times New Roman" w:hAnsi="Times New Roman"/>
          <w:b w:val="0"/>
          <w:sz w:val="24"/>
        </w:rPr>
        <w:t>Biaya operasional yang mencakup konsumsi energi (pengisian daya/bahan bakar cadangan) dan alokasi jasa pemantauan operator ditekan hingga maksimal Rp50.000 per siklus penyiraman. Hal ini menghasilkan penghematan biaya langsung sebesar 87,5% per kegiatan dibandingkan pengeluaran rutin upah guyur manual eksisting (Rp400.000 per kegiatan) [31].</w:t>
      </w:r>
    </w:p>
    <w:p>
      <w:pPr>
        <w:keepNext/>
        <w:spacing w:before="160" w:after="40" w:line="360" w:lineRule="auto"/>
        <w:ind w:firstLine="0"/>
        <w:jc w:val="both"/>
      </w:pPr>
      <w:r>
        <w:rPr>
          <w:rFonts w:ascii="Times New Roman" w:hAnsi="Times New Roman"/>
          <w:b/>
          <w:sz w:val="24"/>
        </w:rPr>
        <w:t>S-10. Periode Pengembalian Modal</w:t>
      </w:r>
    </w:p>
    <w:p>
      <w:pPr>
        <w:spacing w:before="0" w:after="120" w:line="360" w:lineRule="auto"/>
        <w:ind w:firstLine="562"/>
        <w:jc w:val="both"/>
      </w:pPr>
      <w:r>
        <w:rPr>
          <w:rFonts w:ascii="Times New Roman" w:hAnsi="Times New Roman"/>
          <w:b w:val="0"/>
          <w:sz w:val="24"/>
        </w:rPr>
        <w:t>Kelayakan ekonomi sistem dinilai berdasarkan kecepatan pengembalian modal investasi awal (</w:t>
      </w:r>
      <w:r>
        <w:rPr>
          <w:rFonts w:ascii="Times New Roman" w:hAnsi="Times New Roman"/>
          <w:b w:val="0"/>
          <w:i/>
          <w:sz w:val="24"/>
        </w:rPr>
        <w:t>payback period</w:t>
      </w:r>
      <w:r>
        <w:rPr>
          <w:rFonts w:ascii="Times New Roman" w:hAnsi="Times New Roman"/>
          <w:b w:val="0"/>
          <w:sz w:val="24"/>
        </w:rPr>
        <w:t xml:space="preserve"> / PP). Periode pengembalian modal dihitung dengan formula rasio investasi awal (CAPEX) terhadap selisih penghematan biaya operasional tahunan (Persamaan 6):</w:t>
      </w:r>
    </w:p>
    <w:p>
      <w:pPr>
        <w:keepNext/>
        <w:spacing w:before="80" w:after="80" w:line="240" w:lineRule="auto"/>
        <w:jc w:val="center"/>
      </w:pPr>
      <m:oMathPara>
        <m:oMath>
          <m:r>
            <m:rPr>
              <m:sty m:val="i"/>
            </m:rPr>
            <m:t>PP</m:t>
          </m:r>
          <m:r>
            <m:t> = </m:t>
          </m:r>
          <m:f>
            <m:num>
              <m:r>
                <m:rPr>
                  <m:sty m:val="i"/>
                </m:rPr>
                <m:t>CAPEX</m:t>
              </m:r>
            </m:num>
            <m:den>
              <m:r>
                <m:t>Δ</m:t>
              </m:r>
              <m:sSub>
                <m:e>
                  <m:r>
                    <m:rPr>
                      <m:sty m:val="i"/>
                    </m:rPr>
                    <m:t>OPEX</m:t>
                  </m:r>
                </m:e>
                <m:sub>
                  <m:r>
                    <m:rPr>
                      <m:sty m:val="i"/>
                    </m:rPr>
                    <m:t>tahunan</m:t>
                  </m:r>
                </m:sub>
              </m:sSub>
            </m:den>
          </m:f>
        </m:oMath>
      </m:oMathPara>
    </w:p>
    <w:p>
      <w:pPr>
        <w:spacing w:before="0" w:after="120" w:line="360" w:lineRule="auto"/>
        <w:ind w:firstLine="562"/>
        <w:jc w:val="both"/>
      </w:pPr>
      <w:r>
        <w:rPr>
          <w:rFonts w:ascii="Times New Roman" w:hAnsi="Times New Roman"/>
          <w:b w:val="0"/>
          <w:sz w:val="24"/>
        </w:rPr>
        <w:t>Di mana PP adalah periode pengembalian modal (dalam tahun atau bulan), CAPEX adalah modal investasi implementasi skala penuh sistem rekayasa (&lt;= Rp18.000.000), dan Delta OPEX_tahunan adalah selisih penghematan biaya operasional tahunan antara metode manual eksisting (Rp400.000/kegiatan x ~120 siklus/tahun = ~Rp48.000.000/tahun) dengan biaya operasional sistem baru (&lt;= Rp50.000/siklus x ~120 siklus/tahun = &lt;= Rp6.000.000/tahun). Dengan selisih penghematan bersih mencapai lebih dari Rp42.000.000 per tahun, target titik impas modal investasi penuh dipastikan tercapai dalam kurun waktu 12 hingga 18 bulan operasi [30]. Sementara itu, untuk purwarupa fungsional Capstone mahasiswa dengan pagu belanja &lt;= Rp5.000.000, kelayakan biaya terbukti sangat efisien sebagai prototipe pembuktian konsep sebelum investasi penuh digelontorkan oleh mitra.</w:t>
      </w:r>
    </w:p>
    <w:p>
      <w:pPr>
        <w:keepNext/>
        <w:spacing w:before="160" w:after="40" w:line="360" w:lineRule="auto"/>
        <w:ind w:firstLine="0"/>
        <w:jc w:val="both"/>
      </w:pPr>
      <w:r>
        <w:rPr>
          <w:rFonts w:ascii="Times New Roman" w:hAnsi="Times New Roman"/>
          <w:b/>
          <w:sz w:val="24"/>
        </w:rPr>
        <w:t>S-11. Efisiensi Aplikasi Air Irigasi</w:t>
      </w:r>
    </w:p>
    <w:p>
      <w:pPr>
        <w:spacing w:before="0" w:after="120" w:line="360" w:lineRule="auto"/>
        <w:ind w:firstLine="562"/>
        <w:jc w:val="both"/>
      </w:pPr>
      <w:r>
        <w:rPr>
          <w:rFonts w:ascii="Times New Roman" w:hAnsi="Times New Roman"/>
          <w:b w:val="0"/>
          <w:sz w:val="24"/>
        </w:rPr>
        <w:t>Mengacu pada prinsip konservasi air PP No. 20 Tahun 2006, Permentan No. 49/2014, dan panduan FAO, efisiensi aplikasi air (eta_a) dihitung dari rasio volume air yang tersimpan di zona perakaran aktif serabut terhadap volume total air yang dialirkan dari sumber melalui Persamaan 7 [1], [6], [7], [18]:</w:t>
      </w:r>
    </w:p>
    <w:p>
      <w:pPr>
        <w:keepNext/>
        <w:spacing w:before="80" w:after="80" w:line="240" w:lineRule="auto"/>
        <w:jc w:val="center"/>
      </w:pPr>
      <m:oMathPara>
        <m:oMath>
          <m:sSub>
            <m:e>
              <m:r>
                <m:rPr>
                  <m:sty m:val="i"/>
                </m:rPr>
                <m:t>η</m:t>
              </m:r>
            </m:e>
            <m:sub>
              <m:r>
                <m:rPr>
                  <m:sty m:val="i"/>
                </m:rPr>
                <m:t>a</m:t>
              </m:r>
            </m:sub>
          </m:sSub>
          <m:r>
            <m:t> = </m:t>
          </m:r>
          <m:d>
            <m:dPr>
              <m:begChr m:val="("/>
              <m:endChr m:val=")"/>
            </m:dPr>
            <m:e>
              <m:f>
                <m:num>
                  <m:sSub>
                    <m:e>
                      <m:r>
                        <m:rPr>
                          <m:sty m:val="i"/>
                        </m:rPr>
                        <m:t>V</m:t>
                      </m:r>
                    </m:e>
                    <m:sub>
                      <m:r>
                        <m:rPr>
                          <m:sty m:val="i"/>
                        </m:rPr>
                        <m:t>akar</m:t>
                      </m:r>
                    </m:sub>
                  </m:sSub>
                </m:num>
                <m:den>
                  <m:sSub>
                    <m:e>
                      <m:r>
                        <m:rPr>
                          <m:sty m:val="i"/>
                        </m:rPr>
                        <m:t>V</m:t>
                      </m:r>
                    </m:e>
                    <m:sub>
                      <m:r>
                        <m:rPr>
                          <m:sty m:val="i"/>
                        </m:rPr>
                        <m:t>sumber</m:t>
                      </m:r>
                    </m:sub>
                  </m:sSub>
                </m:den>
              </m:f>
            </m:e>
          </m:d>
          <m:r>
            <m:t> × 100%</m:t>
          </m:r>
        </m:oMath>
      </m:oMathPara>
    </w:p>
    <w:p>
      <w:pPr>
        <w:spacing w:before="0" w:after="120" w:line="360" w:lineRule="auto"/>
        <w:ind w:firstLine="562"/>
        <w:jc w:val="both"/>
      </w:pPr>
      <w:r>
        <w:rPr>
          <w:rFonts w:ascii="Times New Roman" w:hAnsi="Times New Roman"/>
          <w:b w:val="0"/>
          <w:sz w:val="24"/>
        </w:rPr>
        <w:t>Di mana eta_a adalah efisiensi aplikasi air irigasi (%), Vakar adalah volume air yang meresap dan tertahan pada zona perakaran aktif pohon jeruk (kedalaman 20–40 cm dan radius 0,5–0,8 m), dan Vsumber adalah volume total air yang disedot dari sungai melalui pipa masukan utama. Sistem baru ditargetkan mencapai eta_a &gt;= 80%, melompat jauh melampaui efisiensi penyiraman parit tanah konvensional eksisting yang kerap di bawah 40–50% akibat rembesan horizontal tanah galian dan evaporasi terbuka di sepanjang parit 100 meter.</w:t>
      </w:r>
    </w:p>
    <w:p>
      <w:pPr>
        <w:keepNext/>
        <w:spacing w:before="160" w:after="40" w:line="360" w:lineRule="auto"/>
        <w:ind w:firstLine="0"/>
        <w:jc w:val="both"/>
      </w:pPr>
      <w:r>
        <w:rPr>
          <w:rFonts w:ascii="Times New Roman" w:hAnsi="Times New Roman"/>
          <w:b/>
          <w:sz w:val="24"/>
        </w:rPr>
        <w:t>S-12. Emisi Gas Buang di Zona Tajuk Perakaran</w:t>
      </w:r>
    </w:p>
    <w:p>
      <w:pPr>
        <w:spacing w:before="0" w:after="120" w:line="360" w:lineRule="auto"/>
        <w:ind w:firstLine="562"/>
        <w:jc w:val="both"/>
      </w:pPr>
      <w:r>
        <w:rPr>
          <w:rFonts w:ascii="Times New Roman" w:hAnsi="Times New Roman"/>
          <w:b w:val="0"/>
          <w:sz w:val="24"/>
        </w:rPr>
        <w:t>Sistem operasi penyiraman di sekitar barisan tanaman tidak menghasilkan emisi gas buang jelaga karbon monoksida maupun tetesan residu pelumas oli di atas tanah perakaran. Hal ini memperbaiki kelemahan pompa pembakaran internal berbahan bakar bensin/Pertalite eksisting yang mencemari lingkungan perakaran dan berisiko meracuni mikroorganisme tanah penyubur jeruk.</w:t>
      </w:r>
    </w:p>
    <w:p>
      <w:pPr>
        <w:keepNext/>
        <w:spacing w:before="160" w:after="40" w:line="360" w:lineRule="auto"/>
        <w:ind w:firstLine="0"/>
        <w:jc w:val="both"/>
      </w:pPr>
      <w:r>
        <w:rPr>
          <w:rFonts w:ascii="Times New Roman" w:hAnsi="Times New Roman"/>
          <w:b/>
          <w:sz w:val="24"/>
        </w:rPr>
        <w:t>S-13. Kemudahan Pengoperasian oleh Operator Mitra</w:t>
      </w:r>
    </w:p>
    <w:p>
      <w:pPr>
        <w:spacing w:before="0" w:after="120" w:line="360" w:lineRule="auto"/>
        <w:ind w:firstLine="562"/>
        <w:jc w:val="both"/>
      </w:pPr>
      <w:r>
        <w:rPr>
          <w:rFonts w:ascii="Times New Roman" w:hAnsi="Times New Roman"/>
          <w:b w:val="0"/>
          <w:sz w:val="24"/>
        </w:rPr>
        <w:t>Antarmuka pengguna dirancang dengan logika operasional tombol tunggal (</w:t>
      </w:r>
      <w:r>
        <w:rPr>
          <w:rFonts w:ascii="Times New Roman" w:hAnsi="Times New Roman"/>
          <w:b w:val="0"/>
          <w:i/>
          <w:sz w:val="24"/>
        </w:rPr>
        <w:t>single-touch start</w:t>
      </w:r>
      <w:r>
        <w:rPr>
          <w:rFonts w:ascii="Times New Roman" w:hAnsi="Times New Roman"/>
          <w:b w:val="0"/>
          <w:sz w:val="24"/>
        </w:rPr>
        <w:t>). Pekerja kebun lokal dengan latar belakang pendidikan dasar dapat mengoperasikan dan memantau status penyiraman dengan waktu pelatihan singkat tidak lebih dari 30 menit.</w:t>
      </w:r>
    </w:p>
    <w:p>
      <w:pPr>
        <w:keepNext/>
        <w:spacing w:before="160" w:after="40" w:line="360" w:lineRule="auto"/>
        <w:ind w:firstLine="0"/>
        <w:jc w:val="both"/>
      </w:pPr>
      <w:r>
        <w:rPr>
          <w:rFonts w:ascii="Times New Roman" w:hAnsi="Times New Roman"/>
          <w:b/>
          <w:sz w:val="24"/>
        </w:rPr>
        <w:t>S-14. Durasi Pemeliharaan Rutin Saringan dan Mekanik</w:t>
      </w:r>
    </w:p>
    <w:p>
      <w:pPr>
        <w:spacing w:before="0" w:after="120" w:line="360" w:lineRule="auto"/>
        <w:ind w:firstLine="562"/>
        <w:jc w:val="both"/>
      </w:pPr>
      <w:r>
        <w:rPr>
          <w:rFonts w:ascii="Times New Roman" w:hAnsi="Times New Roman"/>
          <w:b w:val="0"/>
          <w:sz w:val="24"/>
        </w:rPr>
        <w:t>Desain mekanis sistem dirancang modular sehingga proses pembongkaran, pembersihan saringan kotoran, dan perakitan kembali dapat dituntaskan oleh satu orang pekerja dalam waktu kurang dari 20 menit per bulan menggunakan perkakas bengkel pertanian umum (seperti obeng dan kunci pas standar tanpa memerlukan alat kalibrasi khusus) [14].</w:t>
      </w:r>
    </w:p>
    <w:p>
      <w:pPr>
        <w:keepNext/>
        <w:spacing w:before="280" w:after="120" w:line="360" w:lineRule="auto"/>
        <w:jc w:val="left"/>
      </w:pPr>
      <w:r>
        <w:rPr>
          <w:rFonts w:ascii="Times New Roman" w:hAnsi="Times New Roman"/>
          <w:b/>
          <w:sz w:val="24"/>
        </w:rPr>
        <w:t>1.3 Pengukuran dan Verifikasi Spesifikasi</w:t>
      </w:r>
    </w:p>
    <w:p>
      <w:pPr>
        <w:spacing w:before="0" w:after="120" w:line="360" w:lineRule="auto"/>
        <w:ind w:firstLine="562"/>
        <w:jc w:val="both"/>
      </w:pPr>
      <w:r>
        <w:rPr>
          <w:rFonts w:ascii="Times New Roman" w:hAnsi="Times New Roman"/>
          <w:b w:val="0"/>
          <w:sz w:val="24"/>
        </w:rPr>
        <w:t>Untuk membuktikan secara ilmiah dan kuantitatif bahwa solusi rekayasa yang dikembangkan pada tahap selanjutnya benar-benar memenuhi spesifikasi yang dijanjikan, bagian ini menyusun rencana pengukuran dan prosedur verifikasi pengujian. Setiap spesifikasi dilengkapi dengan metode standar pengujian, peralatan ukur terkalibrasi, mekanisme langkah pengujian, serta kriteria keberhasilan verifikasi yang disajikan pada Tabel 4.</w:t>
      </w:r>
    </w:p>
    <w:p>
      <w:pPr>
        <w:keepNext/>
        <w:spacing w:before="200" w:after="80" w:line="276" w:lineRule="auto"/>
        <w:jc w:val="center"/>
      </w:pPr>
      <w:r>
        <w:rPr>
          <w:rFonts w:ascii="Times New Roman" w:hAnsi="Times New Roman"/>
          <w:b/>
          <w:sz w:val="22"/>
        </w:rPr>
        <w:t>Tabel 4. Matriks Rencana Pengukuran dan Verifikasi Spesifikasi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Parameter yang Diuji</w:t>
            </w:r>
          </w:p>
        </w:tc>
        <w:tc>
          <w:tcPr>
            <w:tcW w:type="dxa" w:w="187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Target Nilai</w:t>
            </w:r>
          </w:p>
        </w:tc>
        <w:tc>
          <w:tcPr>
            <w:tcW w:type="dxa" w:w="115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Metode / Standar Uji</w:t>
            </w:r>
          </w:p>
        </w:tc>
        <w:tc>
          <w:tcPr>
            <w:tcW w:type="dxa" w:w="144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Alat Ukur / Verifikasi</w:t>
            </w:r>
          </w:p>
        </w:tc>
        <w:tc>
          <w:tcPr>
            <w:tcW w:type="dxa" w:w="216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Kriteria Kelulusan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Volume Air per Pohon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10 - 15 L +- 5%</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Metode Volumetrik Langsung</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Wadah tera, Gelas ukur 1.000 mL, Flow meter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Volume tertampung 9,5 - 15,75 L.</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Keseragaman Distribusi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CU &gt;= 85%</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Standar ANSI/ASAE S398.1</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15 unit bejana ukur, Silinder ukur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Perhitungan matematis CU &gt;= 85,0%.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Siklus Total</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4,0 Jam (Skala penuh)</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Pencatatan Waktu Siklus / Laju per Pohon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Stopwatch terkalibrasi, Data logger sistem</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Laju siram &lt;= 28 dtk/pohon; siram 1 lajur &lt;= 10 mnt.</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Radius &amp; Kedalaman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r &gt;= 0,5 m; d &gt;= 20 cm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Pengukuran Penetrasi Tanah Basah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Meteran baja, Bor tanah mini, Sensor lengas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Profil basah r &gt;= 50 cm dan d &gt;= 20 cm.</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S-05</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Derajat Filtrasi Fisik</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120 mesh</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Hambatan &amp; Partikel Lolos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Saringan kawat 120 mesh, Manometer DP</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partikel &gt;= 130 um lolos ke pipa.</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S-06</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Cadangan Daya Mandiri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 Jam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Beban Penuh Kontinu Off-Grid</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DC Power Meter, Clamp meter, Data logger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Operasi beban penuh &gt;= 8 jam tanpa cutoff.</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S-07</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Selungkup</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IP65 &amp; 20 - 55 deg C</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Metode Uji Standar IEC 60529</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Nozzle 6,3 mm debit 12,5 L/m, Termometer IR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rembesan air ke PCB; stabil 55 deg C.</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S-08</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Modal (CAPEX)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Purwarupa &lt;= Rp 5 Jt; Penuh &lt;= Rp 18 Jt</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Audit Nota BOM Purwarupa &amp; Analisis Finansial</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Rekapitulasi nota belanja riil &amp; simulasi biaya skala penuh</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Belanja purwarupa &lt;= Rp 5.000.000; Proyeksi skala penuh &lt;= Rp 18.000.000.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S-09</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Operasional (OPEX)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Rp 50.000/siklus</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Pencatatan Konsumsi Energi &amp; Jasa</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Log pengeluaran operasional per kegiatan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Biaya energi + jasa &lt;= Rp 50.000/siklus.</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S-10</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Payback Period</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12 - 18 Bulan</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Analisis Finansial Usaha Tani</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Formula PP = CAPEX / Delta OPEX Tahunan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Nilai PP terhitung &lt;= 1,5 tahun.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Efisiensi Aplikasi (eta_a)</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Neraca Air Masuk vs Terserap Akar</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Flow meter pipa utama, Volumetrik perakaran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Rasio volume air terserap &gt;= 0,80.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Emisi Gas di Kebun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0 g/kWh Emisi Lokal</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Inspeksi Penggerak &amp; Deteksi Gas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Gas detector portabel (CO, HC), Visual pelumas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emisi gas racun &amp; nol ceceran oli.</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Kemudahan Operasi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Waktu ajar &lt;= 30 Menit</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Keterpakaian Lapangan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Lembar tugas operator mitra, Stopwatch tugas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Operator mandiri operasikan dalam &lt;= 30 mnt.</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Waktu Pemeliharaan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20 Menit/bulan</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Waktu Bongkar-Pasang Saringan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Stopwatch, Perkakas kunci pas &amp; obeng umum</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Flushing &amp; bersih saringan &lt;= 20 menit.</w:t>
            </w:r>
          </w:p>
        </w:tc>
      </w:tr>
    </w:tbl>
    <w:p>
      <w:pPr>
        <w:keepNext/>
        <w:spacing w:before="240" w:after="80" w:line="360" w:lineRule="auto"/>
        <w:jc w:val="left"/>
      </w:pPr>
      <w:r>
        <w:rPr>
          <w:rFonts w:ascii="Times New Roman" w:hAnsi="Times New Roman"/>
          <w:b/>
          <w:sz w:val="24"/>
        </w:rPr>
        <w:t>1.3.1 Prosedur Verifikasi Dosis dan Keseragaman Distribusi Air (S-01, S-02, S-04)</w:t>
      </w:r>
    </w:p>
    <w:p>
      <w:pPr>
        <w:keepNext/>
        <w:spacing w:before="160" w:after="40" w:line="360" w:lineRule="auto"/>
        <w:ind w:firstLine="0"/>
        <w:jc w:val="both"/>
      </w:pPr>
      <w:r>
        <w:rPr>
          <w:rFonts w:ascii="Times New Roman" w:hAnsi="Times New Roman"/>
          <w:b/>
          <w:sz w:val="24"/>
        </w:rPr>
        <w:t>1. Protokol Uji Keseragaman Christiansen (ANSI/ASAE S398.1)</w:t>
      </w:r>
    </w:p>
    <w:p>
      <w:pPr>
        <w:spacing w:before="0" w:after="120" w:line="360" w:lineRule="auto"/>
        <w:ind w:firstLine="562"/>
        <w:jc w:val="both"/>
      </w:pPr>
      <w:r>
        <w:rPr>
          <w:rFonts w:ascii="Times New Roman" w:hAnsi="Times New Roman"/>
          <w:b w:val="0"/>
          <w:sz w:val="24"/>
        </w:rPr>
        <w:t>Sebanyak 15 titik pohon sampel ditetapkan pada lajur petak uji percontohan (</w:t>
      </w:r>
      <w:r>
        <w:rPr>
          <w:rFonts w:ascii="Times New Roman" w:hAnsi="Times New Roman"/>
          <w:b w:val="0"/>
          <w:i/>
          <w:sz w:val="24"/>
        </w:rPr>
        <w:t>pilot testbed</w:t>
      </w:r>
      <w:r>
        <w:rPr>
          <w:rFonts w:ascii="Times New Roman" w:hAnsi="Times New Roman"/>
          <w:b w:val="0"/>
          <w:sz w:val="24"/>
        </w:rPr>
        <w:t>) mewakili tiga zona hidrolik: 5 pohon di zona pangkal (dekat titik suplai air), 5 pohon di zona tengah (bentang ~12–15 m), dan 5 pohon di zona ujung lajur uji (bentang ~25 m). Pada setiap pohon sampel diletakkan bejana penampung ukur (</w:t>
      </w:r>
      <w:r>
        <w:rPr>
          <w:rFonts w:ascii="Times New Roman" w:hAnsi="Times New Roman"/>
          <w:b w:val="0"/>
          <w:i/>
          <w:sz w:val="24"/>
        </w:rPr>
        <w:t>catch cans</w:t>
      </w:r>
      <w:r>
        <w:rPr>
          <w:rFonts w:ascii="Times New Roman" w:hAnsi="Times New Roman"/>
          <w:b w:val="0"/>
          <w:sz w:val="24"/>
        </w:rPr>
        <w:t>) yang mengelilingi radius perakaran tanaman.</w:t>
      </w:r>
    </w:p>
    <w:p>
      <w:pPr>
        <w:keepNext/>
        <w:spacing w:before="160" w:after="40" w:line="360" w:lineRule="auto"/>
        <w:ind w:firstLine="0"/>
        <w:jc w:val="both"/>
      </w:pPr>
      <w:r>
        <w:rPr>
          <w:rFonts w:ascii="Times New Roman" w:hAnsi="Times New Roman"/>
          <w:b/>
          <w:sz w:val="24"/>
        </w:rPr>
        <w:t>2. Pengukuran Volumetrik dan Analisis Matematis CU</w:t>
      </w:r>
    </w:p>
    <w:p>
      <w:pPr>
        <w:spacing w:before="0" w:after="120" w:line="360" w:lineRule="auto"/>
        <w:ind w:firstLine="562"/>
        <w:jc w:val="both"/>
      </w:pPr>
      <w:r>
        <w:rPr>
          <w:rFonts w:ascii="Times New Roman" w:hAnsi="Times New Roman"/>
          <w:b w:val="0"/>
          <w:sz w:val="24"/>
        </w:rPr>
        <w:t>Setelah satu siklus penyiraman selesai dijalankan, volume air tertampung pada masing-masing bejana (Xi) diukur menggunakan silinder ukur bertingkat presisi +- 5 mL. Koefisien Keseragaman Christiansen (CU) dihitung menggunakan rumus matematis Persamaan 3 dengan n = 15. Spesifikasi dinyatakan lulus jika CU &gt;= 85% dan deviasi volume tiap titik terhadap target 10–15 L tidak melampaui +- 5%.</w:t>
      </w:r>
    </w:p>
    <w:p>
      <w:pPr>
        <w:keepNext/>
        <w:spacing w:before="160" w:after="40" w:line="360" w:lineRule="auto"/>
        <w:ind w:firstLine="0"/>
        <w:jc w:val="both"/>
      </w:pPr>
      <w:r>
        <w:rPr>
          <w:rFonts w:ascii="Times New Roman" w:hAnsi="Times New Roman"/>
          <w:b/>
          <w:sz w:val="24"/>
        </w:rPr>
        <w:t>3. Verifikasi Penetrasi dan Infiltrasi Tanah</w:t>
      </w:r>
    </w:p>
    <w:p>
      <w:pPr>
        <w:spacing w:before="0" w:after="120" w:line="360" w:lineRule="auto"/>
        <w:ind w:firstLine="562"/>
        <w:jc w:val="both"/>
      </w:pPr>
      <w:r>
        <w:rPr>
          <w:rFonts w:ascii="Times New Roman" w:hAnsi="Times New Roman"/>
          <w:b w:val="0"/>
          <w:sz w:val="24"/>
        </w:rPr>
        <w:t>Tiga puluh menit pasca-siram, profil kedalaman pembasahan tanah diuji menggunakan bor tanah mini sedalam 40 cm pada radius 60 cm dari batang untuk memastikan air terinfiltrasi pada zona perakaran aktif tanpa menimbulkan genangan permukaan &gt; 30 menit.</w:t>
      </w:r>
    </w:p>
    <w:p>
      <w:pPr>
        <w:keepNext/>
        <w:spacing w:before="240" w:after="80" w:line="360" w:lineRule="auto"/>
        <w:jc w:val="left"/>
      </w:pPr>
      <w:r>
        <w:rPr>
          <w:rFonts w:ascii="Times New Roman" w:hAnsi="Times New Roman"/>
          <w:b/>
          <w:sz w:val="24"/>
        </w:rPr>
        <w:t>1.3.2 Prosedur Verifikasi Durasi Siklus dan Filtrasi Fisik (S-03, S-05)</w:t>
      </w:r>
    </w:p>
    <w:p>
      <w:pPr>
        <w:keepNext/>
        <w:spacing w:before="160" w:after="40" w:line="360" w:lineRule="auto"/>
        <w:ind w:firstLine="0"/>
        <w:jc w:val="both"/>
      </w:pPr>
      <w:r>
        <w:rPr>
          <w:rFonts w:ascii="Times New Roman" w:hAnsi="Times New Roman"/>
          <w:b/>
          <w:sz w:val="24"/>
        </w:rPr>
        <w:t>1. Pengukuran Durasi Operasi Kebun</w:t>
      </w:r>
    </w:p>
    <w:p>
      <w:pPr>
        <w:spacing w:before="0" w:after="120" w:line="360" w:lineRule="auto"/>
        <w:ind w:firstLine="562"/>
        <w:jc w:val="both"/>
      </w:pPr>
      <w:r>
        <w:rPr>
          <w:rFonts w:ascii="Times New Roman" w:hAnsi="Times New Roman"/>
          <w:b w:val="0"/>
          <w:sz w:val="24"/>
        </w:rPr>
        <w:t xml:space="preserve">Durasi siklus penyiraman diukur menggunakan stopwatch digital terkalibrasi yang diaktifkan tepat saat pompa/sistem utama mulai beroperasi dari titik awal kebun dan dihentikan saat pohon terakhir selesai terairi. Data waktu diverifikasi melalui pencatatan </w:t>
      </w:r>
      <w:r>
        <w:rPr>
          <w:rFonts w:ascii="Times New Roman" w:hAnsi="Times New Roman"/>
          <w:b w:val="0"/>
          <w:i/>
          <w:sz w:val="24"/>
        </w:rPr>
        <w:t>timestamp</w:t>
      </w:r>
      <w:r>
        <w:rPr>
          <w:rFonts w:ascii="Times New Roman" w:hAnsi="Times New Roman"/>
          <w:b w:val="0"/>
          <w:sz w:val="24"/>
        </w:rPr>
        <w:t xml:space="preserve"> pada sistem mikrokontroler. Kriteria kelulusan terpenuhi jika durasi total &lt;= 240 menit (4 jam).</w:t>
      </w:r>
    </w:p>
    <w:p>
      <w:pPr>
        <w:keepNext/>
        <w:spacing w:before="160" w:after="40" w:line="360" w:lineRule="auto"/>
        <w:ind w:firstLine="0"/>
        <w:jc w:val="both"/>
      </w:pPr>
      <w:r>
        <w:rPr>
          <w:rFonts w:ascii="Times New Roman" w:hAnsi="Times New Roman"/>
          <w:b/>
          <w:sz w:val="24"/>
        </w:rPr>
        <w:t>2. Pengujian Kinerja Filtrasi Sedimen</w:t>
      </w:r>
    </w:p>
    <w:p>
      <w:pPr>
        <w:spacing w:before="0" w:after="120" w:line="360" w:lineRule="auto"/>
        <w:ind w:firstLine="562"/>
        <w:jc w:val="both"/>
      </w:pPr>
      <w:r>
        <w:rPr>
          <w:rFonts w:ascii="Times New Roman" w:hAnsi="Times New Roman"/>
          <w:b w:val="0"/>
          <w:sz w:val="24"/>
        </w:rPr>
        <w:t>Verifikasi kemampuan saringan dilakukan dengan memasang manometer diferensial pada sisi masuk dan keluar tabung saringan 120 mesh. Air sampel sungai Ciberes dialirkan pada debit kerja nominal selama 2 jam kontinu. Sampel air keluaran ditampung dan diuji menggunakan membran kertas saring laboratorium untuk memverifikasi bahwa tidak ada partikel sedimen berukuran &gt;= 130 um yang lolos menuju subsistem distribusi.</w:t>
      </w:r>
    </w:p>
    <w:p>
      <w:pPr>
        <w:keepNext/>
        <w:spacing w:before="240" w:after="80" w:line="360" w:lineRule="auto"/>
        <w:jc w:val="left"/>
      </w:pPr>
      <w:r>
        <w:rPr>
          <w:rFonts w:ascii="Times New Roman" w:hAnsi="Times New Roman"/>
          <w:b/>
          <w:sz w:val="24"/>
        </w:rPr>
        <w:t>1.3.3 Prosedur Verifikasi Kemandirian Daya dan Proteksi Lingkungan (S-06, S-07)</w:t>
      </w:r>
    </w:p>
    <w:p>
      <w:pPr>
        <w:keepNext/>
        <w:spacing w:before="160" w:after="40" w:line="360" w:lineRule="auto"/>
        <w:ind w:firstLine="0"/>
        <w:jc w:val="both"/>
      </w:pPr>
      <w:r>
        <w:rPr>
          <w:rFonts w:ascii="Times New Roman" w:hAnsi="Times New Roman"/>
          <w:b/>
          <w:sz w:val="24"/>
        </w:rPr>
        <w:t>1. Uji Ketahanan Pasokan Daya Mandiri</w:t>
      </w:r>
    </w:p>
    <w:p>
      <w:pPr>
        <w:spacing w:before="0" w:after="120" w:line="360" w:lineRule="auto"/>
        <w:ind w:firstLine="562"/>
        <w:jc w:val="both"/>
      </w:pPr>
      <w:r>
        <w:rPr>
          <w:rFonts w:ascii="Times New Roman" w:hAnsi="Times New Roman"/>
          <w:b w:val="0"/>
          <w:sz w:val="24"/>
        </w:rPr>
        <w:t>Uji ketahanan daya mandiri dilakukan dengan kondisi modul baterai terisi penuh (100% SoC) tanpa sambungan pengisian panel surya untuk mensimulasikan kondisi cuaca mendung ekstrem. Seluruh beban operasional diaktifkan pada siklus kerja penuh. Digital clamp meter DC dan alat perekam data (</w:t>
      </w:r>
      <w:r>
        <w:rPr>
          <w:rFonts w:ascii="Times New Roman" w:hAnsi="Times New Roman"/>
          <w:b w:val="0"/>
          <w:i/>
          <w:sz w:val="24"/>
        </w:rPr>
        <w:t>data logger</w:t>
      </w:r>
      <w:r>
        <w:rPr>
          <w:rFonts w:ascii="Times New Roman" w:hAnsi="Times New Roman"/>
          <w:b w:val="0"/>
          <w:sz w:val="24"/>
        </w:rPr>
        <w:t>) digunakan untuk merekam kurva penurunan tegangan baterai (V), arus beban (I), dan konsumsi daya total (P) setiap 10 menit. Sistem dinyatakan lulus apabila mampu beroperasi stabil selama minimal 8 jam kontinu tanpa menyentuh batas pemutus tegangan rendah.</w:t>
      </w:r>
    </w:p>
    <w:p>
      <w:pPr>
        <w:keepNext/>
        <w:spacing w:before="160" w:after="40" w:line="360" w:lineRule="auto"/>
        <w:ind w:firstLine="0"/>
        <w:jc w:val="both"/>
      </w:pPr>
      <w:r>
        <w:rPr>
          <w:rFonts w:ascii="Times New Roman" w:hAnsi="Times New Roman"/>
          <w:b/>
          <w:sz w:val="24"/>
        </w:rPr>
        <w:t>2. Uji Proteksi Selungkup Terhadap Debu dan Air (IP65)</w:t>
      </w:r>
    </w:p>
    <w:p>
      <w:pPr>
        <w:spacing w:before="0" w:after="120" w:line="360" w:lineRule="auto"/>
        <w:ind w:firstLine="562"/>
        <w:jc w:val="both"/>
      </w:pPr>
      <w:r>
        <w:rPr>
          <w:rFonts w:ascii="Times New Roman" w:hAnsi="Times New Roman"/>
          <w:b w:val="0"/>
          <w:sz w:val="24"/>
        </w:rPr>
        <w:t>Uji ketahanan lingkungan selungkup mengacu pada klausul standar IEC 60529 untuk proteksi IP65. Selungkup kontroler disemprot menggunakan nozzle berdiameter 6,3 mm dengan debit air 12,5 L/menit dari jarak 2,5–3 meter ke seluruh sambungan dan engsel selama 3 menit. Setelah pengujian semprot, bagian luar dikeringkan dan isi selungkup diperiksa secara visual untuk memastikan tidak ada setetes pun air yang merembes ke papan rangkaian elektronik.</w:t>
      </w:r>
    </w:p>
    <w:p>
      <w:pPr>
        <w:keepNext/>
        <w:spacing w:before="240" w:after="80" w:line="360" w:lineRule="auto"/>
        <w:jc w:val="left"/>
      </w:pPr>
      <w:r>
        <w:rPr>
          <w:rFonts w:ascii="Times New Roman" w:hAnsi="Times New Roman"/>
          <w:b/>
          <w:sz w:val="24"/>
        </w:rPr>
        <w:t>1.3.4 Prosedur Verifikasi Finansial, Efisiensi Biaya, dan Efisiensi Air (S-08, S-09, S-10, S-11)</w:t>
      </w:r>
    </w:p>
    <w:p>
      <w:pPr>
        <w:keepNext/>
        <w:spacing w:before="160" w:after="40" w:line="360" w:lineRule="auto"/>
        <w:ind w:firstLine="0"/>
        <w:jc w:val="both"/>
      </w:pPr>
      <w:r>
        <w:rPr>
          <w:rFonts w:ascii="Times New Roman" w:hAnsi="Times New Roman"/>
          <w:b/>
          <w:sz w:val="24"/>
        </w:rPr>
        <w:t>1. Audit Biaya Modal Purwarupa dan Simulasi Finansial (CAPEX)</w:t>
      </w:r>
    </w:p>
    <w:p>
      <w:pPr>
        <w:spacing w:before="0" w:after="120" w:line="360" w:lineRule="auto"/>
        <w:ind w:firstLine="562"/>
        <w:jc w:val="both"/>
      </w:pPr>
      <w:r>
        <w:rPr>
          <w:rFonts w:ascii="Times New Roman" w:hAnsi="Times New Roman"/>
          <w:b w:val="0"/>
          <w:sz w:val="24"/>
        </w:rPr>
        <w:t>Biaya investasi awal diverifikasi melalui dua tahapan: (a) audit dokumen rincian anggaran komponen riil (</w:t>
      </w:r>
      <w:r>
        <w:rPr>
          <w:rFonts w:ascii="Times New Roman" w:hAnsi="Times New Roman"/>
          <w:b w:val="0"/>
          <w:i/>
          <w:sz w:val="24"/>
        </w:rPr>
        <w:t>bill of materials</w:t>
      </w:r>
      <w:r>
        <w:rPr>
          <w:rFonts w:ascii="Times New Roman" w:hAnsi="Times New Roman"/>
          <w:b w:val="0"/>
          <w:sz w:val="24"/>
        </w:rPr>
        <w:t xml:space="preserve"> / BOM) purwarupa fungsional mahasiswa berdasarkan total rekapitulasi nota belanja komponen dan ongkos perakitan mekanis yang wajib terbukti &lt;= Rp5.000.000, serta (b) validasi matematis pemodelan biaya ekspansi skala penuh kebun (&lt;= Rp18.000.000) menggunakan data harga satuan komponen percontohan.</w:t>
      </w:r>
    </w:p>
    <w:p>
      <w:pPr>
        <w:keepNext/>
        <w:spacing w:before="160" w:after="40" w:line="360" w:lineRule="auto"/>
        <w:ind w:firstLine="0"/>
        <w:jc w:val="both"/>
      </w:pPr>
      <w:r>
        <w:rPr>
          <w:rFonts w:ascii="Times New Roman" w:hAnsi="Times New Roman"/>
          <w:b/>
          <w:sz w:val="24"/>
        </w:rPr>
        <w:t>2. Pengujian Biaya Operasional per Siklus (OPEX)</w:t>
      </w:r>
    </w:p>
    <w:p>
      <w:pPr>
        <w:spacing w:before="0" w:after="120" w:line="360" w:lineRule="auto"/>
        <w:ind w:firstLine="562"/>
        <w:jc w:val="both"/>
      </w:pPr>
      <w:r>
        <w:rPr>
          <w:rFonts w:ascii="Times New Roman" w:hAnsi="Times New Roman"/>
          <w:b w:val="0"/>
          <w:sz w:val="24"/>
        </w:rPr>
        <w:t>Biaya operasional per siklus (OPEX) dihitung dari konsumsi energi habis pakai ditambah alokasi jasa pemantauan operator, dengan batas kelulusan &lt;= Rp50.000 per kegiatan.</w:t>
      </w:r>
    </w:p>
    <w:p>
      <w:pPr>
        <w:keepNext/>
        <w:spacing w:before="160" w:after="40" w:line="360" w:lineRule="auto"/>
        <w:ind w:firstLine="0"/>
        <w:jc w:val="both"/>
      </w:pPr>
      <w:r>
        <w:rPr>
          <w:rFonts w:ascii="Times New Roman" w:hAnsi="Times New Roman"/>
          <w:b/>
          <w:sz w:val="24"/>
        </w:rPr>
        <w:t>3. Perhitungan Periode Pengembalian Modal</w:t>
      </w:r>
    </w:p>
    <w:p>
      <w:pPr>
        <w:spacing w:before="0" w:after="120" w:line="360" w:lineRule="auto"/>
        <w:ind w:firstLine="562"/>
        <w:jc w:val="both"/>
      </w:pPr>
      <w:r>
        <w:rPr>
          <w:rFonts w:ascii="Times New Roman" w:hAnsi="Times New Roman"/>
          <w:b w:val="0"/>
          <w:sz w:val="24"/>
        </w:rPr>
        <w:t>Periode pengembalian modal dihitung dengan formula PP = CAPEX riil / Delta OPEX Tahunan terhadap biaya manual eksisting (Rp48,7 juta/tahun), dengan syarat PP &lt;= 1,5 tahun (18 bulan).</w:t>
      </w:r>
    </w:p>
    <w:p>
      <w:pPr>
        <w:keepNext/>
        <w:spacing w:before="160" w:after="40" w:line="360" w:lineRule="auto"/>
        <w:ind w:firstLine="0"/>
        <w:jc w:val="both"/>
      </w:pPr>
      <w:r>
        <w:rPr>
          <w:rFonts w:ascii="Times New Roman" w:hAnsi="Times New Roman"/>
          <w:b/>
          <w:sz w:val="24"/>
        </w:rPr>
        <w:t>4. Pengukuran Efisiensi Aplikasi Air</w:t>
      </w:r>
    </w:p>
    <w:p>
      <w:pPr>
        <w:spacing w:before="0" w:after="120" w:line="360" w:lineRule="auto"/>
        <w:ind w:firstLine="562"/>
        <w:jc w:val="both"/>
      </w:pPr>
      <w:r>
        <w:rPr>
          <w:rFonts w:ascii="Times New Roman" w:hAnsi="Times New Roman"/>
          <w:b w:val="0"/>
          <w:sz w:val="24"/>
        </w:rPr>
        <w:t>Efisiensi aplikasi air diuji dengan memasang alat ukur aliran (</w:t>
      </w:r>
      <w:r>
        <w:rPr>
          <w:rFonts w:ascii="Times New Roman" w:hAnsi="Times New Roman"/>
          <w:b w:val="0"/>
          <w:i/>
          <w:sz w:val="24"/>
        </w:rPr>
        <w:t>flow meter</w:t>
      </w:r>
      <w:r>
        <w:rPr>
          <w:rFonts w:ascii="Times New Roman" w:hAnsi="Times New Roman"/>
          <w:b w:val="0"/>
          <w:sz w:val="24"/>
        </w:rPr>
        <w:t>) pada pipa masukan utama untuk mengukur volume total air disedot (V_sumber) dan membandingkannya dengan volume air efektif yang tersimpan pada zona perakaran seluruh pohon (V_akar), dengan syarat eta_a = (V_akar / V_sumber) x 100% &gt;= 80%.</w:t>
      </w:r>
    </w:p>
    <w:p>
      <w:pPr>
        <w:keepNext/>
        <w:spacing w:before="240" w:after="80" w:line="360" w:lineRule="auto"/>
        <w:jc w:val="left"/>
      </w:pPr>
      <w:r>
        <w:rPr>
          <w:rFonts w:ascii="Times New Roman" w:hAnsi="Times New Roman"/>
          <w:b/>
          <w:sz w:val="24"/>
        </w:rPr>
        <w:t>1.3.5 Prosedur Verifikasi Keterpakaian dan Pemeliharaan (S-13, S-14)</w:t>
      </w:r>
    </w:p>
    <w:p>
      <w:pPr>
        <w:keepNext/>
        <w:spacing w:before="160" w:after="40" w:line="360" w:lineRule="auto"/>
        <w:ind w:firstLine="0"/>
        <w:jc w:val="both"/>
      </w:pPr>
      <w:r>
        <w:rPr>
          <w:rFonts w:ascii="Times New Roman" w:hAnsi="Times New Roman"/>
          <w:b/>
          <w:sz w:val="24"/>
        </w:rPr>
        <w:t>1. Uji Keterpakaian oleh Operator Mitra</w:t>
      </w:r>
    </w:p>
    <w:p>
      <w:pPr>
        <w:spacing w:before="0" w:after="120" w:line="360" w:lineRule="auto"/>
        <w:ind w:firstLine="562"/>
        <w:jc w:val="both"/>
      </w:pPr>
      <w:r>
        <w:rPr>
          <w:rFonts w:ascii="Times New Roman" w:hAnsi="Times New Roman"/>
          <w:b w:val="0"/>
          <w:sz w:val="24"/>
        </w:rPr>
        <w:t>Uji keterpakaian dilakukan bersama pekerja kebun mitra Ciberes menggunakan lembar instruksi kerja standar satu halaman bergambar. Setelah sesi pengenalan selama maksimal 30 menit, pekerja diminta menjalankan sistem secara mandiri. Waktu keberhasilan dan kesalahan eksekusi dicatat, dengan syarat kelulusan pekerja mampu mengoperasikan sistem secara mandiri tanpa asistensi teknis.</w:t>
      </w:r>
    </w:p>
    <w:p>
      <w:pPr>
        <w:keepNext/>
        <w:spacing w:before="160" w:after="40" w:line="360" w:lineRule="auto"/>
        <w:ind w:firstLine="0"/>
        <w:jc w:val="both"/>
      </w:pPr>
      <w:r>
        <w:rPr>
          <w:rFonts w:ascii="Times New Roman" w:hAnsi="Times New Roman"/>
          <w:b/>
          <w:sz w:val="24"/>
        </w:rPr>
        <w:t>2. Uji Waktu Pemeliharaan Rutin Saringan</w:t>
      </w:r>
    </w:p>
    <w:p>
      <w:pPr>
        <w:spacing w:before="0" w:after="120" w:line="360" w:lineRule="auto"/>
        <w:ind w:firstLine="562"/>
        <w:jc w:val="both"/>
      </w:pPr>
      <w:r>
        <w:rPr>
          <w:rFonts w:ascii="Times New Roman" w:hAnsi="Times New Roman"/>
          <w:b w:val="0"/>
          <w:sz w:val="24"/>
        </w:rPr>
        <w:t>Uji pemeliharaan dilakukan melalui simulasi pembongkaran, pembersihan elemen saringan 120 mesh dengan air mengalir, dan pemasangan kembali menggunakan perkakas standar pertanian (obeng dan kunci pas). Seluruh tahapan prosedur pemeliharaan dicatat menggunakan stopwatch dan dinyatakan lulus apabila tuntas dalam waktu &lt;= 20 menit.</w:t>
      </w:r>
    </w:p>
    <w:p>
      <w:pPr>
        <w:keepNext/>
        <w:spacing w:before="280" w:after="120" w:line="360" w:lineRule="auto"/>
        <w:jc w:val="left"/>
      </w:pPr>
      <w:r>
        <w:rPr>
          <w:rFonts w:ascii="Times New Roman" w:hAnsi="Times New Roman"/>
          <w:b/>
          <w:sz w:val="24"/>
        </w:rPr>
        <w:t>1.4 Kesimpulan</w:t>
      </w:r>
    </w:p>
    <w:p>
      <w:pPr>
        <w:spacing w:before="0" w:after="120" w:line="360" w:lineRule="auto"/>
        <w:ind w:firstLine="562"/>
        <w:jc w:val="both"/>
      </w:pPr>
      <w:r>
        <w:rPr>
          <w:rFonts w:ascii="Times New Roman" w:hAnsi="Times New Roman"/>
          <w:b w:val="0"/>
          <w:sz w:val="24"/>
        </w:rPr>
        <w:t>Dokumen CD-2 ini telah menetapkan kerangka batasan rekayasa dan spesifikasi kuantitatif yang terdefinisi secara presisi, terukur, dan memiliki pijakan ilmiah yang kokoh bagi perancangan sistem irigasi kebun jeruk limau mitra di Ciberes, Subang.</w:t>
      </w:r>
    </w:p>
    <w:p>
      <w:pPr>
        <w:spacing w:before="0" w:after="120" w:line="360" w:lineRule="auto"/>
        <w:ind w:firstLine="562"/>
        <w:jc w:val="both"/>
      </w:pPr>
      <w:r>
        <w:rPr>
          <w:rFonts w:ascii="Times New Roman" w:hAnsi="Times New Roman"/>
          <w:b w:val="0"/>
          <w:sz w:val="24"/>
        </w:rPr>
        <w:t>Rangkuman poin penting dokumen CD-2 meliputi:</w:t>
      </w:r>
    </w:p>
    <w:p>
      <w:pPr>
        <w:keepNext/>
        <w:spacing w:before="160" w:after="40" w:line="360" w:lineRule="auto"/>
        <w:ind w:firstLine="0"/>
        <w:jc w:val="both"/>
      </w:pPr>
      <w:r>
        <w:rPr>
          <w:rFonts w:ascii="Times New Roman" w:hAnsi="Times New Roman"/>
          <w:b/>
          <w:sz w:val="24"/>
        </w:rPr>
        <w:t>1. Dasar Penentuan Spesifikasi Multi-Pilar</w:t>
      </w:r>
    </w:p>
    <w:p>
      <w:pPr>
        <w:spacing w:before="0" w:after="120" w:line="360" w:lineRule="auto"/>
        <w:ind w:firstLine="562"/>
        <w:jc w:val="both"/>
      </w:pPr>
      <w:r>
        <w:rPr>
          <w:rFonts w:ascii="Times New Roman" w:hAnsi="Times New Roman"/>
          <w:b w:val="0"/>
          <w:sz w:val="24"/>
        </w:rPr>
        <w:t xml:space="preserve">Perumusan spesifikasi mengintegrasikan kebutuhan riil mitra kebun Ciberes (penurunan upah manual Rp400.000/kegiatan atau Rp48,7 juta/tahun, keandalan pompa, proteksi pemupukan NPK), regulasi pemerintah (PP No. 20 Tahun 2006 tentang Irigasi dan Permentan No. 49/2014), standar teknik industri konsensus internasional (keseragaman air ANSI/ASAE S398.1 &gt;= 85%, ASAE EP405.1, ISO 9261:2004, proteksi lingkungan IEC 60529 IP65, keselamatan tegangan rendah SELV &lt;= 48 V DC, otonomi surya IEC 62124), karakteristik agronomi fisiologi tanaman jeruk limau (evapotranspirasi 10–15 L/pohon, perakaran serabut aktif 20–40 cm, pencegahan busuk perakaran </w:t>
      </w:r>
      <w:r>
        <w:rPr>
          <w:rFonts w:ascii="Times New Roman" w:hAnsi="Times New Roman"/>
          <w:b w:val="0"/>
          <w:i/>
          <w:sz w:val="24"/>
        </w:rPr>
        <w:t>Phytophthora</w:t>
      </w:r>
      <w:r>
        <w:rPr>
          <w:rFonts w:ascii="Times New Roman" w:hAnsi="Times New Roman"/>
          <w:b w:val="0"/>
          <w:sz w:val="24"/>
        </w:rPr>
        <w:t>), serta mitigasi sedimen sungai Ciberes (filtrasi &gt;= 120 mesh).</w:t>
      </w:r>
    </w:p>
    <w:p>
      <w:pPr>
        <w:keepNext/>
        <w:spacing w:before="160" w:after="40" w:line="360" w:lineRule="auto"/>
        <w:ind w:firstLine="0"/>
        <w:jc w:val="both"/>
      </w:pPr>
      <w:r>
        <w:rPr>
          <w:rFonts w:ascii="Times New Roman" w:hAnsi="Times New Roman"/>
          <w:b/>
          <w:sz w:val="24"/>
        </w:rPr>
        <w:t>2. Perumusan Spesifikasi Kuantitatif Multi-Aspek</w:t>
      </w:r>
    </w:p>
    <w:p>
      <w:pPr>
        <w:spacing w:before="0" w:after="120" w:line="360" w:lineRule="auto"/>
        <w:ind w:firstLine="562"/>
        <w:jc w:val="both"/>
      </w:pPr>
      <w:r>
        <w:rPr>
          <w:rFonts w:ascii="Times New Roman" w:hAnsi="Times New Roman"/>
          <w:b w:val="0"/>
          <w:sz w:val="24"/>
        </w:rPr>
        <w:t>Ditetapkan 5 batasan mutlak dan 14 butir spesifikasi kuantitatif komprehensif yang mencakup aspek teknis (akurasi dosis air 15 L +- 5%, keseragaman CU &gt;= 85%, durasi siram &lt;= 4 jam skala penuh / laju &lt;= 28 detik/pohon, filtrasi 120 mesh, otonomi energi &gt;= 8 jam, rating IP65), aspek ekonomi (plafon biaya belanja purwarupa mahasiswa &lt;= Rp5.000.000, proyeksi implementasi skala penuh kebun &lt;= Rp18.000.000, OPEX &lt;= Rp50.000/siklus, payback period &lt;= 12–18 bulan), aspek lingkungan (efisiensi aplikasi air &gt;= 80%, bebas emisi lokal di area perakaran), serta aspek operasional mitra (waktu ajar operasi &lt;= 30 menit, waktu perawatan &lt;= 20 menit/bulan).</w:t>
      </w:r>
    </w:p>
    <w:p>
      <w:pPr>
        <w:keepNext/>
        <w:spacing w:before="160" w:after="40" w:line="360" w:lineRule="auto"/>
        <w:ind w:firstLine="0"/>
        <w:jc w:val="both"/>
      </w:pPr>
      <w:r>
        <w:rPr>
          <w:rFonts w:ascii="Times New Roman" w:hAnsi="Times New Roman"/>
          <w:b/>
          <w:sz w:val="24"/>
        </w:rPr>
        <w:t>3. Netralitas Solusi Rekayasa</w:t>
      </w:r>
    </w:p>
    <w:p>
      <w:pPr>
        <w:spacing w:before="0" w:after="120" w:line="360" w:lineRule="auto"/>
        <w:ind w:firstLine="562"/>
        <w:jc w:val="both"/>
      </w:pPr>
      <w:r>
        <w:rPr>
          <w:rFonts w:ascii="Times New Roman" w:hAnsi="Times New Roman"/>
          <w:b w:val="0"/>
          <w:sz w:val="24"/>
        </w:rPr>
        <w:t>Spesifikasi dirumuskan secara fungsional tanpa bias atau penguncian dini pada satu opsi teknologi maupun merek komponen tertentu (</w:t>
      </w:r>
      <w:r>
        <w:rPr>
          <w:rFonts w:ascii="Times New Roman" w:hAnsi="Times New Roman"/>
          <w:b w:val="0"/>
          <w:i/>
          <w:sz w:val="24"/>
        </w:rPr>
        <w:t>solution-agnostic</w:t>
      </w:r>
      <w:r>
        <w:rPr>
          <w:rFonts w:ascii="Times New Roman" w:hAnsi="Times New Roman"/>
          <w:b w:val="0"/>
          <w:sz w:val="24"/>
        </w:rPr>
        <w:t>), membuka ruang terbuka bagi evaluasi perpipaan mikro, robotik bergerak berselang, maupun solusi hibrida.</w:t>
      </w:r>
    </w:p>
    <w:p>
      <w:pPr>
        <w:keepNext/>
        <w:spacing w:before="160" w:after="40" w:line="360" w:lineRule="auto"/>
        <w:ind w:firstLine="0"/>
        <w:jc w:val="both"/>
      </w:pPr>
      <w:r>
        <w:rPr>
          <w:rFonts w:ascii="Times New Roman" w:hAnsi="Times New Roman"/>
          <w:b/>
          <w:sz w:val="24"/>
        </w:rPr>
        <w:t>4. Kesiapan Protokol Pengujian Terukur</w:t>
      </w:r>
    </w:p>
    <w:p>
      <w:pPr>
        <w:spacing w:before="0" w:after="120" w:line="360" w:lineRule="auto"/>
        <w:ind w:firstLine="562"/>
        <w:jc w:val="both"/>
      </w:pPr>
      <w:r>
        <w:rPr>
          <w:rFonts w:ascii="Times New Roman" w:hAnsi="Times New Roman"/>
          <w:b w:val="0"/>
          <w:sz w:val="24"/>
        </w:rPr>
        <w:t>Seluruh spesifikasi telah dipetakan ke dalam matriks rencana pengujian verifikasi yang memuat metode uji baku, instrumen alat ukur terkalibrasi, prosedur pengukuran langkah demi langkah, dan kriteria kelulusan numerik yang objektif.</w:t>
      </w:r>
    </w:p>
    <w:p>
      <w:pPr>
        <w:keepNext/>
        <w:spacing w:before="160" w:after="40" w:line="360" w:lineRule="auto"/>
        <w:ind w:firstLine="0"/>
        <w:jc w:val="both"/>
      </w:pPr>
      <w:r>
        <w:rPr>
          <w:rFonts w:ascii="Times New Roman" w:hAnsi="Times New Roman"/>
          <w:b/>
          <w:sz w:val="24"/>
        </w:rPr>
        <w:t>5. Transisi Menuju Tahap CD-3</w:t>
      </w:r>
    </w:p>
    <w:p>
      <w:pPr>
        <w:spacing w:before="0" w:after="120" w:line="360" w:lineRule="auto"/>
        <w:ind w:firstLine="562"/>
        <w:jc w:val="both"/>
      </w:pPr>
      <w:r>
        <w:rPr>
          <w:rFonts w:ascii="Times New Roman" w:hAnsi="Times New Roman"/>
          <w:b w:val="0"/>
          <w:sz w:val="24"/>
        </w:rPr>
        <w:t>Batasan dan spesifikasi kuantitatif dalam dokumen CD-2 ini secara formal menjadi tolok ukur acuan evaluasi dan kriteria pembobotan keputusan dalam mengusulkan, menganalisis, dan memilih sekurang-kurangnya tiga alternatif konsep desain solusi pada dokumen rancangan solusi CD-3.</w:t>
      </w:r>
    </w:p>
    <w:p>
      <w:pPr>
        <w:keepNext/>
        <w:spacing w:before="360" w:after="240" w:line="360" w:lineRule="auto"/>
        <w:jc w:val="center"/>
      </w:pPr>
      <w:r>
        <w:rPr>
          <w:rFonts w:ascii="Times New Roman" w:hAnsi="Times New Roman"/>
          <w:b/>
          <w:sz w:val="28"/>
        </w:rPr>
        <w:t>Daftar Pustaka</w:t>
      </w:r>
    </w:p>
    <w:p>
      <w:pPr>
        <w:spacing w:before="0" w:after="80" w:line="276" w:lineRule="auto"/>
        <w:ind w:hanging="432" w:left="432"/>
        <w:jc w:val="both"/>
      </w:pPr>
      <w:r>
        <w:rPr>
          <w:rFonts w:ascii="Times New Roman" w:hAnsi="Times New Roman"/>
          <w:b w:val="0"/>
          <w:sz w:val="22"/>
        </w:rPr>
        <w:t xml:space="preserve">[1] R. G. Allen, L. S. Pereira, D. Raes, and M. Smith, </w:t>
      </w:r>
      <w:r>
        <w:rPr>
          <w:rFonts w:ascii="Times New Roman" w:hAnsi="Times New Roman"/>
          <w:b w:val="0"/>
          <w:i/>
          <w:sz w:val="22"/>
        </w:rPr>
        <w:t>Crop Evapotranspiration: Guidelines for Computing Crop Water Requirements</w:t>
      </w:r>
      <w:r>
        <w:rPr>
          <w:rFonts w:ascii="Times New Roman" w:hAnsi="Times New Roman"/>
          <w:b w:val="0"/>
          <w:sz w:val="22"/>
        </w:rPr>
        <w:t>, FAO Irrigation and Drainage Paper 56. Rome, Italy: Food and Agriculture Organization of the United Nations (FAO), 1998, ISBN: 92-5-104219-5. [Online]. Available: https://www.fao.org/4/x0490e/x0490e00.htm</w:t>
      </w:r>
    </w:p>
    <w:p>
      <w:pPr>
        <w:spacing w:before="0" w:after="80" w:line="276" w:lineRule="auto"/>
        <w:ind w:hanging="432" w:left="432"/>
        <w:jc w:val="both"/>
      </w:pPr>
      <w:r>
        <w:rPr>
          <w:rFonts w:ascii="Times New Roman" w:hAnsi="Times New Roman"/>
          <w:b w:val="0"/>
          <w:sz w:val="22"/>
        </w:rPr>
        <w:t xml:space="preserve">[2] American Society of Agricultural and Biological Engineers, </w:t>
      </w:r>
      <w:r>
        <w:rPr>
          <w:rFonts w:ascii="Times New Roman" w:hAnsi="Times New Roman"/>
          <w:b w:val="0"/>
          <w:i/>
          <w:sz w:val="22"/>
        </w:rPr>
        <w:t>Procedure for Sprinkler Testing and Performance Reporting</w:t>
      </w:r>
      <w:r>
        <w:rPr>
          <w:rFonts w:ascii="Times New Roman" w:hAnsi="Times New Roman"/>
          <w:b w:val="0"/>
          <w:sz w:val="22"/>
        </w:rPr>
        <w:t>, Standard ANSI/ASAE S398.1. St. Joseph, MI, USA: ASABE, 2021. [Online]. Available: https://elibrary.asabe.org/abstract.asp?aid=41295</w:t>
      </w:r>
    </w:p>
    <w:p>
      <w:pPr>
        <w:spacing w:before="0" w:after="80" w:line="276" w:lineRule="auto"/>
        <w:ind w:hanging="432" w:left="432"/>
        <w:jc w:val="both"/>
      </w:pPr>
      <w:r>
        <w:rPr>
          <w:rFonts w:ascii="Times New Roman" w:hAnsi="Times New Roman"/>
          <w:b w:val="0"/>
          <w:sz w:val="22"/>
        </w:rPr>
        <w:t xml:space="preserve">[3] American Society of Agricultural and Biological Engineers, </w:t>
      </w:r>
      <w:r>
        <w:rPr>
          <w:rFonts w:ascii="Times New Roman" w:hAnsi="Times New Roman"/>
          <w:b w:val="0"/>
          <w:i/>
          <w:sz w:val="22"/>
        </w:rPr>
        <w:t>Design and Installation of Microirrigation Systems</w:t>
      </w:r>
      <w:r>
        <w:rPr>
          <w:rFonts w:ascii="Times New Roman" w:hAnsi="Times New Roman"/>
          <w:b w:val="0"/>
          <w:sz w:val="22"/>
        </w:rPr>
        <w:t>, Standard ASAE EP405.1. St. Joseph, MI, USA: ASABE, 2019. [Online]. Available: https://elibrary.asabe.org/abstract.asp?aid=32022</w:t>
      </w:r>
    </w:p>
    <w:p>
      <w:pPr>
        <w:spacing w:before="0" w:after="80" w:line="276" w:lineRule="auto"/>
        <w:ind w:hanging="432" w:left="432"/>
        <w:jc w:val="both"/>
      </w:pPr>
      <w:r>
        <w:rPr>
          <w:rFonts w:ascii="Times New Roman" w:hAnsi="Times New Roman"/>
          <w:b w:val="0"/>
          <w:sz w:val="22"/>
        </w:rPr>
        <w:t xml:space="preserve">[4] International Electrotechnical Commission, </w:t>
      </w:r>
      <w:r>
        <w:rPr>
          <w:rFonts w:ascii="Times New Roman" w:hAnsi="Times New Roman"/>
          <w:b w:val="0"/>
          <w:i/>
          <w:sz w:val="22"/>
        </w:rPr>
        <w:t>Degrees of Protection Provided by Enclosures (IP Code)</w:t>
      </w:r>
      <w:r>
        <w:rPr>
          <w:rFonts w:ascii="Times New Roman" w:hAnsi="Times New Roman"/>
          <w:b w:val="0"/>
          <w:sz w:val="22"/>
        </w:rPr>
        <w:t>, Standard IEC 60529:1989+AMD1:1999+AMD2:2013 CSV. Geneva, Switzerland: IEC, 2013. [Online]. Available: https://webstore.iec.ch/publication/2452</w:t>
      </w:r>
    </w:p>
    <w:p>
      <w:pPr>
        <w:spacing w:before="0" w:after="80" w:line="276" w:lineRule="auto"/>
        <w:ind w:hanging="432" w:left="432"/>
        <w:jc w:val="both"/>
      </w:pPr>
      <w:r>
        <w:rPr>
          <w:rFonts w:ascii="Times New Roman" w:hAnsi="Times New Roman"/>
          <w:b w:val="0"/>
          <w:sz w:val="22"/>
        </w:rPr>
        <w:t xml:space="preserve">[5] Badan Standardisasi Nasional, </w:t>
      </w:r>
      <w:r>
        <w:rPr>
          <w:rFonts w:ascii="Times New Roman" w:hAnsi="Times New Roman"/>
          <w:b w:val="0"/>
          <w:i/>
          <w:sz w:val="22"/>
        </w:rPr>
        <w:t>Derajat Proteksi yang Diberikan oleh Selungkup (Kode IP)</w:t>
      </w:r>
      <w:r>
        <w:rPr>
          <w:rFonts w:ascii="Times New Roman" w:hAnsi="Times New Roman"/>
          <w:b w:val="0"/>
          <w:sz w:val="22"/>
        </w:rPr>
        <w:t>, SNI IEC 60529:2014. Jakarta, Indonesia: BSN, 2014. [Online]. Available: https://pesta.bsn.go.id/produk/detail/9726-sniiec605292014</w:t>
      </w:r>
    </w:p>
    <w:p>
      <w:pPr>
        <w:spacing w:before="0" w:after="80" w:line="276" w:lineRule="auto"/>
        <w:ind w:hanging="432" w:left="432"/>
        <w:jc w:val="both"/>
      </w:pPr>
      <w:r>
        <w:rPr>
          <w:rFonts w:ascii="Times New Roman" w:hAnsi="Times New Roman"/>
          <w:b w:val="0"/>
          <w:sz w:val="22"/>
        </w:rPr>
        <w:t xml:space="preserve">[6] Republik Indonesia, </w:t>
      </w:r>
      <w:r>
        <w:rPr>
          <w:rFonts w:ascii="Times New Roman" w:hAnsi="Times New Roman"/>
          <w:b w:val="0"/>
          <w:i/>
          <w:sz w:val="22"/>
        </w:rPr>
        <w:t>Peraturan Pemerintah Republik Indonesia Nomor 20 Tahun 2006 tentang Irigasi</w:t>
      </w:r>
      <w:r>
        <w:rPr>
          <w:rFonts w:ascii="Times New Roman" w:hAnsi="Times New Roman"/>
          <w:b w:val="0"/>
          <w:sz w:val="22"/>
        </w:rPr>
        <w:t>, Lembaran Negara Republik Indonesia Tahun 2006 Nomor 46. Jakarta, Indonesia: Sekretariat Negara RI, 2006. [Online]. Available: https://peraturan.bpk.go.id/Details/48943/pp-no-20-tahun-2006</w:t>
      </w:r>
    </w:p>
    <w:p>
      <w:pPr>
        <w:spacing w:before="0" w:after="80" w:line="276" w:lineRule="auto"/>
        <w:ind w:hanging="432" w:left="432"/>
        <w:jc w:val="both"/>
      </w:pPr>
      <w:r>
        <w:rPr>
          <w:rFonts w:ascii="Times New Roman" w:hAnsi="Times New Roman"/>
          <w:b w:val="0"/>
          <w:sz w:val="22"/>
        </w:rPr>
        <w:t xml:space="preserve">[7] Kementerian Pertanian Republik Indonesia, </w:t>
      </w:r>
      <w:r>
        <w:rPr>
          <w:rFonts w:ascii="Times New Roman" w:hAnsi="Times New Roman"/>
          <w:b w:val="0"/>
          <w:i/>
          <w:sz w:val="22"/>
        </w:rPr>
        <w:t>Pedoman Teknis Pengembangan Tata Air Pertanian</w:t>
      </w:r>
      <w:r>
        <w:rPr>
          <w:rFonts w:ascii="Times New Roman" w:hAnsi="Times New Roman"/>
          <w:b w:val="0"/>
          <w:sz w:val="22"/>
        </w:rPr>
        <w:t>, Peraturan Menteri Pertanian No. 49/Permentan/OT.140/4/2014 juncto SNI 7608:2010 (Jaringan Irigasi Air Tanah Dangkal). Jakarta, Indonesia: Kementan RI, 2014.</w:t>
      </w:r>
    </w:p>
    <w:p>
      <w:pPr>
        <w:spacing w:before="0" w:after="80" w:line="276" w:lineRule="auto"/>
        <w:ind w:hanging="432" w:left="432"/>
        <w:jc w:val="both"/>
      </w:pPr>
      <w:r>
        <w:rPr>
          <w:rFonts w:ascii="Times New Roman" w:hAnsi="Times New Roman"/>
          <w:b w:val="0"/>
          <w:sz w:val="22"/>
        </w:rPr>
        <w:t xml:space="preserve">[8] International Organization for Standardization, </w:t>
      </w:r>
      <w:r>
        <w:rPr>
          <w:rFonts w:ascii="Times New Roman" w:hAnsi="Times New Roman"/>
          <w:b w:val="0"/>
          <w:i/>
          <w:sz w:val="22"/>
        </w:rPr>
        <w:t>Agricultural irrigation equipment — Emitters and emitting pipe — Specification and test methods</w:t>
      </w:r>
      <w:r>
        <w:rPr>
          <w:rFonts w:ascii="Times New Roman" w:hAnsi="Times New Roman"/>
          <w:b w:val="0"/>
          <w:sz w:val="22"/>
        </w:rPr>
        <w:t>, Standard ISO 9261:2004. Geneva, Switzerland: ISO, 2004. [Online]. Available: https://www.iso.org/standard/38072.html</w:t>
      </w:r>
    </w:p>
    <w:p>
      <w:pPr>
        <w:spacing w:before="0" w:after="80" w:line="276" w:lineRule="auto"/>
        <w:ind w:hanging="432" w:left="432"/>
        <w:jc w:val="both"/>
      </w:pPr>
      <w:r>
        <w:rPr>
          <w:rFonts w:ascii="Times New Roman" w:hAnsi="Times New Roman"/>
          <w:b w:val="0"/>
          <w:sz w:val="22"/>
        </w:rPr>
        <w:t xml:space="preserve">[9] International Electrotechnical Commission, </w:t>
      </w:r>
      <w:r>
        <w:rPr>
          <w:rFonts w:ascii="Times New Roman" w:hAnsi="Times New Roman"/>
          <w:b w:val="0"/>
          <w:i/>
          <w:sz w:val="22"/>
        </w:rPr>
        <w:t>Photovoltaic (PV) stand-alone systems - Design verification</w:t>
      </w:r>
      <w:r>
        <w:rPr>
          <w:rFonts w:ascii="Times New Roman" w:hAnsi="Times New Roman"/>
          <w:b w:val="0"/>
          <w:sz w:val="22"/>
        </w:rPr>
        <w:t>, Standard IEC 62124:2004. Geneva, Switzerland: IEC, 2004. [Online]. Available: https://webstore.iec.ch/publication/6504</w:t>
      </w:r>
    </w:p>
    <w:p>
      <w:pPr>
        <w:spacing w:before="0" w:after="80" w:line="276" w:lineRule="auto"/>
        <w:ind w:hanging="432" w:left="432"/>
        <w:jc w:val="both"/>
      </w:pPr>
      <w:r>
        <w:rPr>
          <w:rFonts w:ascii="Times New Roman" w:hAnsi="Times New Roman"/>
          <w:b w:val="0"/>
          <w:sz w:val="22"/>
        </w:rPr>
        <w:t xml:space="preserve">[10] International Electrotechnical Commission, </w:t>
      </w:r>
      <w:r>
        <w:rPr>
          <w:rFonts w:ascii="Times New Roman" w:hAnsi="Times New Roman"/>
          <w:b w:val="0"/>
          <w:i/>
          <w:sz w:val="22"/>
        </w:rPr>
        <w:t>Low-voltage electrical installations - Part 4-41: Protection for safety - Protection against electric shock</w:t>
      </w:r>
      <w:r>
        <w:rPr>
          <w:rFonts w:ascii="Times New Roman" w:hAnsi="Times New Roman"/>
          <w:b w:val="0"/>
          <w:sz w:val="22"/>
        </w:rPr>
        <w:t>, Standard IEC 60364-4-41:2005+AMD1:2017 CSV. Geneva, Switzerland: IEC, 2017. [Online]. Available: https://webstore.iec.ch/publication/60074</w:t>
      </w:r>
    </w:p>
    <w:p>
      <w:pPr>
        <w:spacing w:before="0" w:after="80" w:line="276" w:lineRule="auto"/>
        <w:ind w:hanging="432" w:left="432"/>
        <w:jc w:val="both"/>
      </w:pPr>
      <w:r>
        <w:rPr>
          <w:rFonts w:ascii="Times New Roman" w:hAnsi="Times New Roman"/>
          <w:b w:val="0"/>
          <w:sz w:val="22"/>
        </w:rPr>
        <w:t xml:space="preserve">[11] IEEE Standards Association, </w:t>
      </w:r>
      <w:r>
        <w:rPr>
          <w:rFonts w:ascii="Times New Roman" w:hAnsi="Times New Roman"/>
          <w:b w:val="0"/>
          <w:i/>
          <w:sz w:val="22"/>
        </w:rPr>
        <w:t>IEEE Standard for a Smart Transducer Interface for Sensors and Actuators - Mixed-Mode Communication Protocols and Transducer Electronic Data Sheet (TEDS) Formats</w:t>
      </w:r>
      <w:r>
        <w:rPr>
          <w:rFonts w:ascii="Times New Roman" w:hAnsi="Times New Roman"/>
          <w:b w:val="0"/>
          <w:sz w:val="22"/>
        </w:rPr>
        <w:t>, IEEE Std 1451.4-2004. New York, NY, USA: IEEE, 2004, doi: 10.1109/IEEESTD.2004.95745.</w:t>
      </w:r>
    </w:p>
    <w:p>
      <w:pPr>
        <w:spacing w:before="0" w:after="80" w:line="276" w:lineRule="auto"/>
        <w:ind w:hanging="432" w:left="432"/>
        <w:jc w:val="both"/>
      </w:pPr>
      <w:r>
        <w:rPr>
          <w:rFonts w:ascii="Times New Roman" w:hAnsi="Times New Roman"/>
          <w:b w:val="0"/>
          <w:sz w:val="22"/>
        </w:rPr>
        <w:t xml:space="preserve">[12] P. Panigrahi and A. K. Srivastava, “Water and nutrient management effects on water use and yield of drip irrigated citrus in vertisol under a sub-humid region,” </w:t>
      </w:r>
      <w:r>
        <w:rPr>
          <w:rFonts w:ascii="Times New Roman" w:hAnsi="Times New Roman"/>
          <w:b w:val="0"/>
          <w:i/>
          <w:sz w:val="22"/>
        </w:rPr>
        <w:t>Journal of Integrative Agriculture</w:t>
      </w:r>
      <w:r>
        <w:rPr>
          <w:rFonts w:ascii="Times New Roman" w:hAnsi="Times New Roman"/>
          <w:b w:val="0"/>
          <w:sz w:val="22"/>
        </w:rPr>
        <w:t>, vol. 16, no. 5, pp. 1184–1194, 2017, doi: 10.1016/S2095-3119(16)61500-9.</w:t>
      </w:r>
    </w:p>
    <w:p>
      <w:pPr>
        <w:spacing w:before="0" w:after="80" w:line="276" w:lineRule="auto"/>
        <w:ind w:hanging="432" w:left="432"/>
        <w:jc w:val="both"/>
      </w:pPr>
      <w:r>
        <w:rPr>
          <w:rFonts w:ascii="Times New Roman" w:hAnsi="Times New Roman"/>
          <w:b w:val="0"/>
          <w:sz w:val="22"/>
        </w:rPr>
        <w:t xml:space="preserve">[13] R. S. Ayers and D. W. Westcot, </w:t>
      </w:r>
      <w:r>
        <w:rPr>
          <w:rFonts w:ascii="Times New Roman" w:hAnsi="Times New Roman"/>
          <w:b w:val="0"/>
          <w:i/>
          <w:sz w:val="22"/>
        </w:rPr>
        <w:t>Water Quality for Agriculture</w:t>
      </w:r>
      <w:r>
        <w:rPr>
          <w:rFonts w:ascii="Times New Roman" w:hAnsi="Times New Roman"/>
          <w:b w:val="0"/>
          <w:sz w:val="22"/>
        </w:rPr>
        <w:t>, FAO Irrigation and Drainage Paper 29 Rev. 1. Rome, Italy: Food and Agriculture Organization of the United Nations (FAO), 1985, ISBN: 92-5-102263-1. [Online]. Available: https://www.fao.org/4/t0234e/t0234e00.htm</w:t>
      </w:r>
    </w:p>
    <w:p>
      <w:pPr>
        <w:spacing w:before="0" w:after="80" w:line="276" w:lineRule="auto"/>
        <w:ind w:hanging="432" w:left="432"/>
        <w:jc w:val="both"/>
      </w:pPr>
      <w:r>
        <w:rPr>
          <w:rFonts w:ascii="Times New Roman" w:hAnsi="Times New Roman"/>
          <w:b w:val="0"/>
          <w:sz w:val="22"/>
        </w:rPr>
        <w:t>[14] J. Shortridge and B. Benham, “Filtration, Treatment, and Maintenance Considerations for Micro-Irrigation Systems,” Virginia Cooperative Extension, Virginia Tech, Publication 442-757, 2023. [Online]. Available: https://www.pubs.ext.vt.edu/442/442-757/442-757.html</w:t>
      </w:r>
    </w:p>
    <w:p>
      <w:pPr>
        <w:spacing w:before="0" w:after="80" w:line="276" w:lineRule="auto"/>
        <w:ind w:hanging="432" w:left="432"/>
        <w:jc w:val="both"/>
      </w:pPr>
      <w:r>
        <w:rPr>
          <w:rFonts w:ascii="Times New Roman" w:hAnsi="Times New Roman"/>
          <w:b w:val="0"/>
          <w:sz w:val="22"/>
        </w:rPr>
        <w:t xml:space="preserve">[15] S. Bounoua, S. Tomas, J. Labille, B. Molle, J. Granier, P. Haldenwang, and S. N. Izzati, “Understanding physical clogging in drip irrigation: in situ, in-lab and numerical approaches,” </w:t>
      </w:r>
      <w:r>
        <w:rPr>
          <w:rFonts w:ascii="Times New Roman" w:hAnsi="Times New Roman"/>
          <w:b w:val="0"/>
          <w:i/>
          <w:sz w:val="22"/>
        </w:rPr>
        <w:t>Irrigation Science</w:t>
      </w:r>
      <w:r>
        <w:rPr>
          <w:rFonts w:ascii="Times New Roman" w:hAnsi="Times New Roman"/>
          <w:b w:val="0"/>
          <w:sz w:val="22"/>
        </w:rPr>
        <w:t>, vol. 34, no. 4, pp. 327–342, 2016, doi: 10.1007/s00271-016-0506-8.</w:t>
      </w:r>
    </w:p>
    <w:p>
      <w:pPr>
        <w:spacing w:before="0" w:after="80" w:line="276" w:lineRule="auto"/>
        <w:ind w:hanging="432" w:left="432"/>
        <w:jc w:val="both"/>
      </w:pPr>
      <w:r>
        <w:rPr>
          <w:rFonts w:ascii="Times New Roman" w:hAnsi="Times New Roman"/>
          <w:b w:val="0"/>
          <w:sz w:val="22"/>
        </w:rPr>
        <w:t xml:space="preserve">[16] Y. Shen, J. Puig-Bargués, M. Li, Y. Xiao, Q. Li, and Y. Li, “Physical, chemical and biological emitter clogging behaviors in drip irrigation systems using high-sediment loaded water,” </w:t>
      </w:r>
      <w:r>
        <w:rPr>
          <w:rFonts w:ascii="Times New Roman" w:hAnsi="Times New Roman"/>
          <w:b w:val="0"/>
          <w:i/>
          <w:sz w:val="22"/>
        </w:rPr>
        <w:t>Agricultural Water Management</w:t>
      </w:r>
      <w:r>
        <w:rPr>
          <w:rFonts w:ascii="Times New Roman" w:hAnsi="Times New Roman"/>
          <w:b w:val="0"/>
          <w:sz w:val="22"/>
        </w:rPr>
        <w:t>, vol. 270, art. 107738, 2022, doi: 10.1016/j.agwat.2022.107738.</w:t>
      </w:r>
    </w:p>
    <w:p>
      <w:pPr>
        <w:spacing w:before="0" w:after="80" w:line="276" w:lineRule="auto"/>
        <w:ind w:hanging="432" w:left="432"/>
        <w:jc w:val="both"/>
      </w:pPr>
      <w:r>
        <w:rPr>
          <w:rFonts w:ascii="Times New Roman" w:hAnsi="Times New Roman"/>
          <w:b w:val="0"/>
          <w:sz w:val="22"/>
        </w:rPr>
        <w:t xml:space="preserve">[17] R. Lavanholi, B. Molle, R. J. R. Ramos, and A. P. Camargo, “Methodology to Evaluate Dripper Sensitivity to Clogging due to Solid Particles: An Assessment,” </w:t>
      </w:r>
      <w:r>
        <w:rPr>
          <w:rFonts w:ascii="Times New Roman" w:hAnsi="Times New Roman"/>
          <w:b w:val="0"/>
          <w:i/>
          <w:sz w:val="22"/>
        </w:rPr>
        <w:t>The Scientific World Journal</w:t>
      </w:r>
      <w:r>
        <w:rPr>
          <w:rFonts w:ascii="Times New Roman" w:hAnsi="Times New Roman"/>
          <w:b w:val="0"/>
          <w:sz w:val="22"/>
        </w:rPr>
        <w:t>, vol. 2018, art. 7697458, pp. 1–9, 2018, doi: 10.1155/2018/7697458.</w:t>
      </w:r>
    </w:p>
    <w:p>
      <w:pPr>
        <w:spacing w:before="0" w:after="80" w:line="276" w:lineRule="auto"/>
        <w:ind w:hanging="432" w:left="432"/>
        <w:jc w:val="both"/>
      </w:pPr>
      <w:r>
        <w:rPr>
          <w:rFonts w:ascii="Times New Roman" w:hAnsi="Times New Roman"/>
          <w:b w:val="0"/>
          <w:sz w:val="22"/>
        </w:rPr>
        <w:t xml:space="preserve">[18] W. R. Walker, </w:t>
      </w:r>
      <w:r>
        <w:rPr>
          <w:rFonts w:ascii="Times New Roman" w:hAnsi="Times New Roman"/>
          <w:b w:val="0"/>
          <w:i/>
          <w:sz w:val="22"/>
        </w:rPr>
        <w:t>Guidelines for Designing and Evaluating Surface Irrigation Systems</w:t>
      </w:r>
      <w:r>
        <w:rPr>
          <w:rFonts w:ascii="Times New Roman" w:hAnsi="Times New Roman"/>
          <w:b w:val="0"/>
          <w:sz w:val="22"/>
        </w:rPr>
        <w:t>, FAO Irrigation and Drainage Paper 45. Rome, Italy: Food and Agriculture Organization of the United Nations (FAO), 1989, ISBN: 92-5-102879-6. [Online]. Available: https://www.fao.org/4/t0231e/t0231e00.htm</w:t>
      </w:r>
    </w:p>
    <w:p>
      <w:pPr>
        <w:spacing w:before="0" w:after="80" w:line="276" w:lineRule="auto"/>
        <w:ind w:hanging="432" w:left="432"/>
        <w:jc w:val="both"/>
      </w:pPr>
      <w:r>
        <w:rPr>
          <w:rFonts w:ascii="Times New Roman" w:hAnsi="Times New Roman"/>
          <w:b w:val="0"/>
          <w:sz w:val="22"/>
        </w:rPr>
        <w:t xml:space="preserve">[19] L. S. Pereira, “Inter-relationships between irrigation scheduling methods and on-farm irrigation systems,” in </w:t>
      </w:r>
      <w:r>
        <w:rPr>
          <w:rFonts w:ascii="Times New Roman" w:hAnsi="Times New Roman"/>
          <w:b w:val="0"/>
          <w:i/>
          <w:sz w:val="22"/>
        </w:rPr>
        <w:t>Irrigation Scheduling: From Theory to Practice</w:t>
      </w:r>
      <w:r>
        <w:rPr>
          <w:rFonts w:ascii="Times New Roman" w:hAnsi="Times New Roman"/>
          <w:b w:val="0"/>
          <w:sz w:val="22"/>
        </w:rPr>
        <w:t>, FAO Water Reports 8. Rome, Italy: FAO, 1996, pp. 91–104. [Online]. Available: https://www.fao.org/4/w4367e/w4367e0c.htm</w:t>
      </w:r>
    </w:p>
    <w:p>
      <w:pPr>
        <w:spacing w:before="0" w:after="80" w:line="276" w:lineRule="auto"/>
        <w:ind w:hanging="432" w:left="432"/>
        <w:jc w:val="both"/>
      </w:pPr>
      <w:r>
        <w:rPr>
          <w:rFonts w:ascii="Times New Roman" w:hAnsi="Times New Roman"/>
          <w:b w:val="0"/>
          <w:sz w:val="22"/>
        </w:rPr>
        <w:t xml:space="preserve">[20] R. Budiarto, R. Poerwanto, E. Santosa, and D. Efendi, “The Potentials of Limau (Citrus amblycarpa Hassk. Ochse) as A Functional Food and Ornamental Mini Tree Based on Metabolomic and Morphological Approaches,” </w:t>
      </w:r>
      <w:r>
        <w:rPr>
          <w:rFonts w:ascii="Times New Roman" w:hAnsi="Times New Roman"/>
          <w:b w:val="0"/>
          <w:i/>
          <w:sz w:val="22"/>
        </w:rPr>
        <w:t>Journal of Tropical Crop Science</w:t>
      </w:r>
      <w:r>
        <w:rPr>
          <w:rFonts w:ascii="Times New Roman" w:hAnsi="Times New Roman"/>
          <w:b w:val="0"/>
          <w:sz w:val="22"/>
        </w:rPr>
        <w:t>, vol. 4, no. 2, pp. 49–57, 2017, doi: 10.29244/jtcs.4.2.49-57.</w:t>
      </w:r>
    </w:p>
    <w:p>
      <w:pPr>
        <w:spacing w:before="0" w:after="80" w:line="276" w:lineRule="auto"/>
        <w:ind w:hanging="432" w:left="432"/>
        <w:jc w:val="both"/>
      </w:pPr>
      <w:r>
        <w:rPr>
          <w:rFonts w:ascii="Times New Roman" w:hAnsi="Times New Roman"/>
          <w:b w:val="0"/>
          <w:sz w:val="22"/>
        </w:rPr>
        <w:t>[21] D. M. Kadyampakeni, K. T. Morgan, M. Zekri, A. W. Schumann, S. Guzmán, F. Alferez, M. A. Shahid, and T. A. Obreza, “2023–2024 Florida Citrus Production Guide: Irrigation Management of Citrus Trees,” University of Florida IFAS Extension, EDIS Publication CG093/CPG12, 2023, doi: 10.32473/edis-cg093-2023.</w:t>
      </w:r>
    </w:p>
    <w:p>
      <w:pPr>
        <w:spacing w:before="0" w:after="80" w:line="276" w:lineRule="auto"/>
        <w:ind w:hanging="432" w:left="432"/>
        <w:jc w:val="both"/>
      </w:pPr>
      <w:r>
        <w:rPr>
          <w:rFonts w:ascii="Times New Roman" w:hAnsi="Times New Roman"/>
          <w:b w:val="0"/>
          <w:sz w:val="22"/>
        </w:rPr>
        <w:t>[22] J. H. Graham and L. W. Timmer, “Phytophthora Diseases of Citrus,” University of Florida IFAS Extension, EDIS Publication SL127/CH087, 2020. [Online]. Available: https://edis.ifas.ufl.edu/publication/CH087</w:t>
      </w:r>
    </w:p>
    <w:p>
      <w:pPr>
        <w:spacing w:before="0" w:after="80" w:line="276" w:lineRule="auto"/>
        <w:ind w:hanging="432" w:left="432"/>
        <w:jc w:val="both"/>
      </w:pPr>
      <w:r>
        <w:rPr>
          <w:rFonts w:ascii="Times New Roman" w:hAnsi="Times New Roman"/>
          <w:b w:val="0"/>
          <w:sz w:val="22"/>
        </w:rPr>
        <w:t>[23] A. G. Smajstrla, B. J. Boman, D. Z. Haman, D. J. Pitts, and F. S. Zazueta, “Field Evaluation of Microirrigation Water Application Uniformity,” University of Florida IFAS Extension, Publication BUL265/AE094, 1997, doi: 10.32473/edis-ae094-1997.</w:t>
      </w:r>
    </w:p>
    <w:p>
      <w:pPr>
        <w:spacing w:before="0" w:after="80" w:line="276" w:lineRule="auto"/>
        <w:ind w:hanging="432" w:left="432"/>
        <w:jc w:val="both"/>
      </w:pPr>
      <w:r>
        <w:rPr>
          <w:rFonts w:ascii="Times New Roman" w:hAnsi="Times New Roman"/>
          <w:b w:val="0"/>
          <w:sz w:val="22"/>
        </w:rPr>
        <w:t>[24] T. A. Obreza, M. Zekri, and S. H. Futch, “Nutrition of Florida Citrus Trees, 3rd Edition: Chapter 3. General Soil Fertility and Citrus Tree Nutrition,” University of Florida IFAS Extension, Publication SL457/SS670, 2020, doi: 10.32473/edis-ss670-2020.</w:t>
      </w:r>
    </w:p>
    <w:p>
      <w:pPr>
        <w:spacing w:before="0" w:after="80" w:line="276" w:lineRule="auto"/>
        <w:ind w:hanging="432" w:left="432"/>
        <w:jc w:val="both"/>
      </w:pPr>
      <w:r>
        <w:rPr>
          <w:rFonts w:ascii="Times New Roman" w:hAnsi="Times New Roman"/>
          <w:b w:val="0"/>
          <w:sz w:val="22"/>
        </w:rPr>
        <w:t xml:space="preserve">[25] N. Elkaoud, S. Ismail, R. Mahmoud, H. Taraby, S. Shang, D. Wang, and M. Rayan, “Efficient and Effective Irrigation Water Management Using Sprinkler Robot,” </w:t>
      </w:r>
      <w:r>
        <w:rPr>
          <w:rFonts w:ascii="Times New Roman" w:hAnsi="Times New Roman"/>
          <w:b w:val="0"/>
          <w:i/>
          <w:sz w:val="22"/>
        </w:rPr>
        <w:t>Eng</w:t>
      </w:r>
      <w:r>
        <w:rPr>
          <w:rFonts w:ascii="Times New Roman" w:hAnsi="Times New Roman"/>
          <w:b w:val="0"/>
          <w:sz w:val="22"/>
        </w:rPr>
        <w:t>, vol. 6, no. 7, art. 138, pp. 1–18, Jun. 2025, doi: 10.3390/eng6070138.</w:t>
      </w:r>
    </w:p>
    <w:p>
      <w:pPr>
        <w:spacing w:before="0" w:after="80" w:line="276" w:lineRule="auto"/>
        <w:ind w:hanging="432" w:left="432"/>
        <w:jc w:val="both"/>
      </w:pPr>
      <w:r>
        <w:rPr>
          <w:rFonts w:ascii="Times New Roman" w:hAnsi="Times New Roman"/>
          <w:b w:val="0"/>
          <w:sz w:val="22"/>
        </w:rPr>
        <w:t xml:space="preserve">[26] Nurwidiana, W. Fatmawati, dan A. Rifa'i, “Perancangan Alat Penyiram Lahan Bawang Merah Berbasis Teknologi Solar Fotovoltaik,” </w:t>
      </w:r>
      <w:r>
        <w:rPr>
          <w:rFonts w:ascii="Times New Roman" w:hAnsi="Times New Roman"/>
          <w:b w:val="0"/>
          <w:i/>
          <w:sz w:val="22"/>
        </w:rPr>
        <w:t>Jurnal PASTI (Penelitian dan Aplikasi Sistem dan Teknik Industri)</w:t>
      </w:r>
      <w:r>
        <w:rPr>
          <w:rFonts w:ascii="Times New Roman" w:hAnsi="Times New Roman"/>
          <w:b w:val="0"/>
          <w:sz w:val="22"/>
        </w:rPr>
        <w:t>, vol. 15, no. 1, hlm. 61–70, 2021.</w:t>
      </w:r>
    </w:p>
    <w:p>
      <w:pPr>
        <w:spacing w:before="0" w:after="80" w:line="276" w:lineRule="auto"/>
        <w:ind w:hanging="432" w:left="432"/>
        <w:jc w:val="both"/>
      </w:pPr>
      <w:r>
        <w:rPr>
          <w:rFonts w:ascii="Times New Roman" w:hAnsi="Times New Roman"/>
          <w:b w:val="0"/>
          <w:sz w:val="22"/>
        </w:rPr>
        <w:t xml:space="preserve">[27] H. Hartung and L. Pluschke, </w:t>
      </w:r>
      <w:r>
        <w:rPr>
          <w:rFonts w:ascii="Times New Roman" w:hAnsi="Times New Roman"/>
          <w:b w:val="0"/>
          <w:i/>
          <w:sz w:val="22"/>
        </w:rPr>
        <w:t>The Benefits and Risks of Solar-Powered Irrigation: A Global Overview</w:t>
      </w:r>
      <w:r>
        <w:rPr>
          <w:rFonts w:ascii="Times New Roman" w:hAnsi="Times New Roman"/>
          <w:b w:val="0"/>
          <w:sz w:val="22"/>
        </w:rPr>
        <w:t>. Rome, Italy: Food and Agriculture Organization of the United Nations (FAO), 2018, ISBN: 978-92-5-130479-2. [Online]. Available: https://www.fao.org/4/i9047en/I9047EN.pdf</w:t>
      </w:r>
    </w:p>
    <w:p>
      <w:pPr>
        <w:spacing w:before="0" w:after="80" w:line="276" w:lineRule="auto"/>
        <w:ind w:hanging="432" w:left="432"/>
        <w:jc w:val="both"/>
      </w:pPr>
      <w:r>
        <w:rPr>
          <w:rFonts w:ascii="Times New Roman" w:hAnsi="Times New Roman"/>
          <w:b w:val="0"/>
          <w:sz w:val="22"/>
        </w:rPr>
        <w:t xml:space="preserve">[28] G. Li, X. Li, and Q. Zeng, “Development of automatic irrigation and soil moisture monitoring system based on solar energy in citrus orchard,” </w:t>
      </w:r>
      <w:r>
        <w:rPr>
          <w:rFonts w:ascii="Times New Roman" w:hAnsi="Times New Roman"/>
          <w:b w:val="0"/>
          <w:i/>
          <w:sz w:val="22"/>
        </w:rPr>
        <w:t>Transactions of the Chinese Society of Agricultural Engineering</w:t>
      </w:r>
      <w:r>
        <w:rPr>
          <w:rFonts w:ascii="Times New Roman" w:hAnsi="Times New Roman"/>
          <w:b w:val="0"/>
          <w:sz w:val="22"/>
        </w:rPr>
        <w:t>, vol. 28, no. 12, pp. 140–145, 2012, doi: 10.3969/j.issn.1002-6819.2012.12.024.</w:t>
      </w:r>
    </w:p>
    <w:p>
      <w:pPr>
        <w:spacing w:before="0" w:after="80" w:line="276" w:lineRule="auto"/>
        <w:ind w:hanging="432" w:left="432"/>
        <w:jc w:val="both"/>
      </w:pPr>
      <w:r>
        <w:rPr>
          <w:rFonts w:ascii="Times New Roman" w:hAnsi="Times New Roman"/>
          <w:b w:val="0"/>
          <w:sz w:val="22"/>
        </w:rPr>
        <w:t xml:space="preserve">[29] J. M. Domínguez-Niño, H. R. Bogena, J. A. Huisman, B. Schilling, and J. Casadesús, “On the Accuracy of Factory-Calibrated Low-Cost Soil Water Content Sensors,” </w:t>
      </w:r>
      <w:r>
        <w:rPr>
          <w:rFonts w:ascii="Times New Roman" w:hAnsi="Times New Roman"/>
          <w:b w:val="0"/>
          <w:i/>
          <w:sz w:val="22"/>
        </w:rPr>
        <w:t>Sensors</w:t>
      </w:r>
      <w:r>
        <w:rPr>
          <w:rFonts w:ascii="Times New Roman" w:hAnsi="Times New Roman"/>
          <w:b w:val="0"/>
          <w:sz w:val="22"/>
        </w:rPr>
        <w:t>, vol. 19, no. 14, art. 3101, 2019, doi: 10.3390/s19143101.</w:t>
      </w:r>
    </w:p>
    <w:p>
      <w:pPr>
        <w:spacing w:before="0" w:after="80" w:line="276" w:lineRule="auto"/>
        <w:ind w:hanging="432" w:left="432"/>
        <w:jc w:val="both"/>
      </w:pPr>
      <w:r>
        <w:rPr>
          <w:rFonts w:ascii="Times New Roman" w:hAnsi="Times New Roman"/>
          <w:b w:val="0"/>
          <w:sz w:val="22"/>
        </w:rPr>
        <w:t xml:space="preserve">[30] N. Durga, S. L. Postigo, and M. Giordano, “Barriers to the uptake of solar-powered irrigation by smallholder farmers in sub-Saharan Africa: A review,” </w:t>
      </w:r>
      <w:r>
        <w:rPr>
          <w:rFonts w:ascii="Times New Roman" w:hAnsi="Times New Roman"/>
          <w:b w:val="0"/>
          <w:i/>
          <w:sz w:val="22"/>
        </w:rPr>
        <w:t>Energy Strategy Reviews</w:t>
      </w:r>
      <w:r>
        <w:rPr>
          <w:rFonts w:ascii="Times New Roman" w:hAnsi="Times New Roman"/>
          <w:b w:val="0"/>
          <w:sz w:val="22"/>
        </w:rPr>
        <w:t>, vol. 51, art. 101294, 2024, doi: 10.1016/j.esr.2024.101294.</w:t>
      </w:r>
    </w:p>
    <w:p>
      <w:pPr>
        <w:spacing w:before="0" w:after="80" w:line="276" w:lineRule="auto"/>
        <w:ind w:hanging="432" w:left="432"/>
        <w:jc w:val="both"/>
      </w:pPr>
      <w:r>
        <w:rPr>
          <w:rFonts w:ascii="Times New Roman" w:hAnsi="Times New Roman"/>
          <w:b w:val="0"/>
          <w:sz w:val="22"/>
        </w:rPr>
        <w:t>[31] Mitra dan Tim Proyek, “Transkrip Wawancara Kebun Jeruk Limau Audio 1 dan Audio 2 Ciberes Subang,” dokumentasi primer tidak diterbitkan, dihimpun Oktober 2026.</w:t>
      </w:r>
    </w:p>
    <w:p>
      <w:pPr>
        <w:keepNext/>
        <w:spacing w:before="360" w:after="240" w:line="360" w:lineRule="auto"/>
        <w:jc w:val="center"/>
      </w:pPr>
      <w:r>
        <w:rPr>
          <w:rFonts w:ascii="Times New Roman" w:hAnsi="Times New Roman"/>
          <w:b/>
          <w:sz w:val="28"/>
        </w:rPr>
        <w:t>Lampiran: Ringkasan Transkrip Wawancara Mitra Lapangan (Audio 1 dan Audio 2 Ciberes)</w:t>
      </w:r>
    </w:p>
    <w:p>
      <w:pPr>
        <w:spacing w:before="0" w:after="120" w:line="360" w:lineRule="auto"/>
        <w:ind w:firstLine="562"/>
        <w:jc w:val="both"/>
      </w:pPr>
      <w:r>
        <w:rPr>
          <w:rFonts w:ascii="Times New Roman" w:hAnsi="Times New Roman"/>
          <w:b w:val="0"/>
          <w:sz w:val="24"/>
        </w:rPr>
        <w:t>Catatan Bukti Kebutuhan Pengguna: Berdasarkan rekaman Audio 1 dan Audio 2 wawancara langsung bersama pengelola kebun jeruk limau di Desa Ciberes, Kecamatan Patokbeusi, Kabupaten Subang, Jawa Barat:</w:t>
      </w:r>
    </w:p>
    <w:p>
      <w:pPr>
        <w:keepNext/>
        <w:spacing w:before="160" w:after="40" w:line="360" w:lineRule="auto"/>
        <w:ind w:firstLine="0"/>
        <w:jc w:val="both"/>
      </w:pPr>
      <w:r>
        <w:rPr>
          <w:rFonts w:ascii="Times New Roman" w:hAnsi="Times New Roman"/>
          <w:b/>
          <w:sz w:val="24"/>
        </w:rPr>
        <w:t>1. Populasi dan Karakteristik Tanaman Jeruk Limau</w:t>
      </w:r>
    </w:p>
    <w:p>
      <w:pPr>
        <w:spacing w:before="0" w:after="120" w:line="360" w:lineRule="auto"/>
        <w:ind w:firstLine="562"/>
        <w:jc w:val="both"/>
      </w:pPr>
      <w:r>
        <w:rPr>
          <w:rFonts w:ascii="Times New Roman" w:hAnsi="Times New Roman"/>
          <w:b w:val="0"/>
          <w:sz w:val="24"/>
        </w:rPr>
        <w:t>Lahan ditanami pohon jeruk limau (</w:t>
      </w:r>
      <w:r>
        <w:rPr>
          <w:rFonts w:ascii="Times New Roman" w:hAnsi="Times New Roman"/>
          <w:b w:val="0"/>
          <w:i/>
          <w:sz w:val="24"/>
        </w:rPr>
        <w:t>Citrus amblycarpa</w:t>
      </w:r>
      <w:r>
        <w:rPr>
          <w:rFonts w:ascii="Times New Roman" w:hAnsi="Times New Roman"/>
          <w:b w:val="0"/>
          <w:sz w:val="24"/>
        </w:rPr>
        <w:t>) dengan estimasi populasi sekitar 500 hingga 600 pohon. Rata-rata tinggi tajuk pohon saat ini berkisar +- 1 meter (tanaman muda/fase pertumbuhan produktif awal). Pohon dipupuk secara periodik dua kali dalam setahun menggunakan pupuk NPK dan pupuk kandang organik.</w:t>
      </w:r>
    </w:p>
    <w:p>
      <w:pPr>
        <w:keepNext/>
        <w:spacing w:before="160" w:after="40" w:line="360" w:lineRule="auto"/>
        <w:ind w:firstLine="0"/>
        <w:jc w:val="both"/>
      </w:pPr>
      <w:r>
        <w:rPr>
          <w:rFonts w:ascii="Times New Roman" w:hAnsi="Times New Roman"/>
          <w:b/>
          <w:sz w:val="24"/>
        </w:rPr>
        <w:t>2. Geometri Lahan dan Saluran Parit Galian</w:t>
      </w:r>
    </w:p>
    <w:p>
      <w:pPr>
        <w:spacing w:before="0" w:after="120" w:line="360" w:lineRule="auto"/>
        <w:ind w:firstLine="562"/>
        <w:jc w:val="both"/>
      </w:pPr>
      <w:r>
        <w:rPr>
          <w:rFonts w:ascii="Times New Roman" w:hAnsi="Times New Roman"/>
          <w:b w:val="0"/>
          <w:sz w:val="24"/>
        </w:rPr>
        <w:t>Lahan memanjang dengan bentang lintasan ~100 m hingga 117,52 m dan lebar ~25–30 m. Memiliki 3 lajur parit tanah memanjang (lebar 0,5–0,6 m, kedalaman 0,4–0,5 m) dengan parit melintang penghubung. Parit dibuat dengan biaya galian hemat untuk mendekatkan air ke barisan pohon, namun air parit cepat surut dan habis setelah pompa dimatikan akibat rembesan lateral tanah bebas.</w:t>
      </w:r>
    </w:p>
    <w:p>
      <w:pPr>
        <w:keepNext/>
        <w:spacing w:before="160" w:after="40" w:line="360" w:lineRule="auto"/>
        <w:ind w:firstLine="0"/>
        <w:jc w:val="both"/>
      </w:pPr>
      <w:r>
        <w:rPr>
          <w:rFonts w:ascii="Times New Roman" w:hAnsi="Times New Roman"/>
          <w:b/>
          <w:sz w:val="24"/>
        </w:rPr>
        <w:t>3. Sumber Suplai Air dan Riwayat Pompa Mesin</w:t>
      </w:r>
    </w:p>
    <w:p>
      <w:pPr>
        <w:spacing w:before="0" w:after="120" w:line="360" w:lineRule="auto"/>
        <w:ind w:firstLine="562"/>
        <w:jc w:val="both"/>
      </w:pPr>
      <w:r>
        <w:rPr>
          <w:rFonts w:ascii="Times New Roman" w:hAnsi="Times New Roman"/>
          <w:b w:val="0"/>
          <w:sz w:val="24"/>
        </w:rPr>
        <w:t>Air disedot dari aliran sungai/saluran irigasi primer yang berjarak sekitar 20,54 meter dari batas lahan kebun. Pompa yang digunakan adalah pompa mesin bensin Alkon 2 inci (berbahan bakar Pertalite). Mitra sempat mencoba memodifikasi sistem bahan bakar memakai tabung gas LPG 3 kg demi menekan biaya, namun dihentikan permanen karena blok mesin mengalami kenaikan suhu ekstrem (</w:t>
      </w:r>
      <w:r>
        <w:rPr>
          <w:rFonts w:ascii="Times New Roman" w:hAnsi="Times New Roman"/>
          <w:b w:val="0"/>
          <w:i/>
          <w:sz w:val="24"/>
        </w:rPr>
        <w:t>overheating</w:t>
      </w:r>
      <w:r>
        <w:rPr>
          <w:rFonts w:ascii="Times New Roman" w:hAnsi="Times New Roman"/>
          <w:b w:val="0"/>
          <w:sz w:val="24"/>
        </w:rPr>
        <w:t>).</w:t>
      </w:r>
    </w:p>
    <w:p>
      <w:pPr>
        <w:keepNext/>
        <w:spacing w:before="160" w:after="40" w:line="360" w:lineRule="auto"/>
        <w:ind w:firstLine="0"/>
        <w:jc w:val="both"/>
      </w:pPr>
      <w:r>
        <w:rPr>
          <w:rFonts w:ascii="Times New Roman" w:hAnsi="Times New Roman"/>
          <w:b/>
          <w:sz w:val="24"/>
        </w:rPr>
        <w:t>4. Ketiadaan Akses Jaringan Listrik PLN</w:t>
      </w:r>
    </w:p>
    <w:p>
      <w:pPr>
        <w:spacing w:before="0" w:after="120" w:line="360" w:lineRule="auto"/>
        <w:ind w:firstLine="562"/>
        <w:jc w:val="both"/>
      </w:pPr>
      <w:r>
        <w:rPr>
          <w:rFonts w:ascii="Times New Roman" w:hAnsi="Times New Roman"/>
          <w:b w:val="0"/>
          <w:sz w:val="24"/>
        </w:rPr>
        <w:t xml:space="preserve">Lokasi kebun berada di hamparan lahan persawahan terbuka pedesaan yang belum terjangkau instalasi tiang dan jaringan distribusi listrik tegangan rendah PLN (kondisi </w:t>
      </w:r>
      <w:r>
        <w:rPr>
          <w:rFonts w:ascii="Times New Roman" w:hAnsi="Times New Roman"/>
          <w:b w:val="0"/>
          <w:i/>
          <w:sz w:val="24"/>
        </w:rPr>
        <w:t>off-grid</w:t>
      </w:r>
      <w:r>
        <w:rPr>
          <w:rFonts w:ascii="Times New Roman" w:hAnsi="Times New Roman"/>
          <w:b w:val="0"/>
          <w:sz w:val="24"/>
        </w:rPr>
        <w:t xml:space="preserve"> mandiri).</w:t>
      </w:r>
    </w:p>
    <w:p>
      <w:pPr>
        <w:keepNext/>
        <w:spacing w:before="160" w:after="40" w:line="360" w:lineRule="auto"/>
        <w:ind w:firstLine="0"/>
        <w:jc w:val="both"/>
      </w:pPr>
      <w:r>
        <w:rPr>
          <w:rFonts w:ascii="Times New Roman" w:hAnsi="Times New Roman"/>
          <w:b/>
          <w:sz w:val="24"/>
        </w:rPr>
        <w:t>5. Praktik Penyiraman Eksisting dan Beban Tenaga Kerja</w:t>
      </w:r>
    </w:p>
    <w:p>
      <w:pPr>
        <w:spacing w:before="0" w:after="120" w:line="360" w:lineRule="auto"/>
        <w:ind w:firstLine="562"/>
        <w:jc w:val="both"/>
      </w:pPr>
      <w:r>
        <w:rPr>
          <w:rFonts w:ascii="Times New Roman" w:hAnsi="Times New Roman"/>
          <w:b w:val="0"/>
          <w:sz w:val="24"/>
        </w:rPr>
        <w:t>Air sungai dipompa masuk ke parit galian, kemudian disiramkan ke tanaman secara manual oleh 4 orang pekerja harian lepas menggunakan timba ember kecil bervolume ~5 Liter (masing-masing pohon diguyur 2–3 ember). Proses penyiraman menyita waktu 4 hingga 6 jam per siklus kegiatan.</w:t>
      </w:r>
    </w:p>
    <w:p>
      <w:pPr>
        <w:keepNext/>
        <w:spacing w:before="160" w:after="40" w:line="360" w:lineRule="auto"/>
        <w:ind w:firstLine="0"/>
        <w:jc w:val="both"/>
      </w:pPr>
      <w:r>
        <w:rPr>
          <w:rFonts w:ascii="Times New Roman" w:hAnsi="Times New Roman"/>
          <w:b/>
          <w:sz w:val="24"/>
        </w:rPr>
        <w:t>6. Struktur Biaya Upah Tenaga Kerja Manual</w:t>
      </w:r>
    </w:p>
    <w:p>
      <w:pPr>
        <w:spacing w:before="0" w:after="120" w:line="360" w:lineRule="auto"/>
        <w:ind w:firstLine="562"/>
        <w:jc w:val="both"/>
      </w:pPr>
      <w:r>
        <w:rPr>
          <w:rFonts w:ascii="Times New Roman" w:hAnsi="Times New Roman"/>
          <w:b w:val="0"/>
          <w:sz w:val="24"/>
        </w:rPr>
        <w:t>Upah pekerja adalah Rp100.000 per orang per hari kerja. Total pengeluaran per satu kali kegiatan penyiraman adalah Rp400.000 (4 orang x Rp100.000). Penyiraman dilakukan rutin rata-rata 3 hari sekali pada musim kemarau (~10–12 kali/bulan). Estimasi akumulasi upah mencapai Rp48.700.000 per tahun, memberatkan total modal pembukaan lahan mitra (~Rp90 juta).</w:t>
      </w:r>
    </w:p>
    <w:p>
      <w:pPr>
        <w:keepNext/>
        <w:spacing w:before="160" w:after="40" w:line="360" w:lineRule="auto"/>
        <w:ind w:firstLine="0"/>
        <w:jc w:val="both"/>
      </w:pPr>
      <w:r>
        <w:rPr>
          <w:rFonts w:ascii="Times New Roman" w:hAnsi="Times New Roman"/>
          <w:b/>
          <w:sz w:val="24"/>
        </w:rPr>
        <w:t>7. Dosis Air Berdasarkan Kebiasaan Praktis Petani</w:t>
      </w:r>
    </w:p>
    <w:p>
      <w:pPr>
        <w:spacing w:before="0" w:after="120" w:line="360" w:lineRule="auto"/>
        <w:ind w:firstLine="562"/>
        <w:jc w:val="both"/>
      </w:pPr>
      <w:r>
        <w:rPr>
          <w:rFonts w:ascii="Times New Roman" w:hAnsi="Times New Roman"/>
          <w:b w:val="0"/>
          <w:sz w:val="24"/>
        </w:rPr>
        <w:t>Petani memperkirakan rata-rata satu pohon menerima sekitar 10 hingga 15 Liter air per kali siram, namun volume aktual per pohon tidak pernah ditakar secara presisi sehingga terjadi variasi kelembapan tanah yang mencolok antar-zona.</w:t>
      </w:r>
    </w:p>
    <w:p>
      <w:pPr>
        <w:keepNext/>
        <w:spacing w:before="160" w:after="40" w:line="360" w:lineRule="auto"/>
        <w:ind w:firstLine="0"/>
        <w:jc w:val="both"/>
      </w:pPr>
      <w:r>
        <w:rPr>
          <w:rFonts w:ascii="Times New Roman" w:hAnsi="Times New Roman"/>
          <w:b/>
          <w:sz w:val="24"/>
        </w:rPr>
        <w:t>8. Ekspektasi dan Kebutuhan Solusi Otomasi</w:t>
      </w:r>
    </w:p>
    <w:p>
      <w:pPr>
        <w:spacing w:before="0" w:after="120" w:line="360" w:lineRule="auto"/>
        <w:ind w:firstLine="562"/>
        <w:jc w:val="both"/>
      </w:pPr>
      <w:r>
        <w:rPr>
          <w:rFonts w:ascii="Times New Roman" w:hAnsi="Times New Roman"/>
          <w:b w:val="0"/>
          <w:sz w:val="24"/>
        </w:rPr>
        <w:t>Pengelola menginginkan adanya alat atau sistem otomatis/mekanis yang mampu menggantikan pekerjaan guyur manual tersebut agar pengeluaran upah tenaga kerja dapat dipangkas drastis (target biaya operasional &lt;= Rp50.000/siklus), pasokan air ke pohon menjadi teratur dan terjamin, modal lekas kembali dalam 1–2 tahun, serta sistem mudah dioperasikan oleh pekerja lokal tanpa kerumitan teknis.</w:t>
      </w:r>
    </w:p>
    <w:sectPr>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-914399</wp:posOffset>
          </wp:positionH>
          <wp:positionV relativeFrom="paragraph">
            <wp:posOffset>-294639</wp:posOffset>
          </wp:positionV>
          <wp:extent cx="7553325" cy="1031240"/>
          <wp:effectExtent b="0" l="0" r="0" t="0"/>
          <wp:wrapNone/>
          <wp:docPr descr="A picture containing text&#10;&#10;Description automatically generated" id="1" name="image1.png"/>
          <a:graphic>
            <a:graphicData uri="http://schemas.openxmlformats.org/drawingml/2006/picture">
              <pic:pic>
                <pic:nvPicPr>
                  <pic:cNvPr descr="A picture containing text&#10;&#10;Description automatically generated" id="0" name="image1.png"/>
                  <pic:cNvPicPr preferRelativeResize="0"/>
                </pic:nvPicPr>
                <pic:blipFill>
                  <a:blip r:embed="rId1"/>
                  <a:srcRect b="0" l="0" r="0" t="0"/>
                  <a:stretch>
                    <a:fillRect/>
                  </a:stretch>
                </pic:blipFill>
                <pic:spPr>
                  <a:xfrm>
                    <a:off x="0" y="0"/>
                    <a:ext cx="7553325" cy="103124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80" w:hanging="360"/>
      </w:pPr>
      <w:rPr>
        <w:rFonts w:ascii="Noto Sans Symbols" w:cs="Noto Sans Symbols" w:eastAsia="Noto Sans Symbols" w:hAnsi="Noto Sans Symbols"/>
      </w:rPr>
    </w:lvl>
    <w:lvl w:ilvl="1">
      <w:start w:val="1"/>
      <w:numFmt w:val="bullet"/>
      <w:lvlText w:val="o"/>
      <w:lvlJc w:val="left"/>
      <w:pPr>
        <w:ind w:left="1500" w:hanging="360"/>
      </w:pPr>
      <w:rPr>
        <w:rFonts w:ascii="Courier New" w:cs="Courier New" w:eastAsia="Courier New" w:hAnsi="Courier New"/>
      </w:rPr>
    </w:lvl>
    <w:lvl w:ilvl="2">
      <w:start w:val="1"/>
      <w:numFmt w:val="bullet"/>
      <w:lvlText w:val="▪"/>
      <w:lvlJc w:val="left"/>
      <w:pPr>
        <w:ind w:left="2220" w:hanging="360"/>
      </w:pPr>
      <w:rPr>
        <w:rFonts w:ascii="Noto Sans Symbols" w:cs="Noto Sans Symbols" w:eastAsia="Noto Sans Symbols" w:hAnsi="Noto Sans Symbols"/>
      </w:rPr>
    </w:lvl>
    <w:lvl w:ilvl="3">
      <w:start w:val="1"/>
      <w:numFmt w:val="bullet"/>
      <w:lvlText w:val="●"/>
      <w:lvlJc w:val="left"/>
      <w:pPr>
        <w:ind w:left="2940" w:hanging="360"/>
      </w:pPr>
      <w:rPr>
        <w:rFonts w:ascii="Noto Sans Symbols" w:cs="Noto Sans Symbols" w:eastAsia="Noto Sans Symbols" w:hAnsi="Noto Sans Symbols"/>
      </w:rPr>
    </w:lvl>
    <w:lvl w:ilvl="4">
      <w:start w:val="1"/>
      <w:numFmt w:val="bullet"/>
      <w:lvlText w:val="o"/>
      <w:lvlJc w:val="left"/>
      <w:pPr>
        <w:ind w:left="3660" w:hanging="360"/>
      </w:pPr>
      <w:rPr>
        <w:rFonts w:ascii="Courier New" w:cs="Courier New" w:eastAsia="Courier New" w:hAnsi="Courier New"/>
      </w:rPr>
    </w:lvl>
    <w:lvl w:ilvl="5">
      <w:start w:val="1"/>
      <w:numFmt w:val="bullet"/>
      <w:lvlText w:val="▪"/>
      <w:lvlJc w:val="left"/>
      <w:pPr>
        <w:ind w:left="4380" w:hanging="360"/>
      </w:pPr>
      <w:rPr>
        <w:rFonts w:ascii="Noto Sans Symbols" w:cs="Noto Sans Symbols" w:eastAsia="Noto Sans Symbols" w:hAnsi="Noto Sans Symbols"/>
      </w:rPr>
    </w:lvl>
    <w:lvl w:ilvl="6">
      <w:start w:val="1"/>
      <w:numFmt w:val="bullet"/>
      <w:lvlText w:val="●"/>
      <w:lvlJc w:val="left"/>
      <w:pPr>
        <w:ind w:left="5100" w:hanging="360"/>
      </w:pPr>
      <w:rPr>
        <w:rFonts w:ascii="Noto Sans Symbols" w:cs="Noto Sans Symbols" w:eastAsia="Noto Sans Symbols" w:hAnsi="Noto Sans Symbols"/>
      </w:rPr>
    </w:lvl>
    <w:lvl w:ilvl="7">
      <w:start w:val="1"/>
      <w:numFmt w:val="bullet"/>
      <w:lvlText w:val="o"/>
      <w:lvlJc w:val="left"/>
      <w:pPr>
        <w:ind w:left="5820" w:hanging="360"/>
      </w:pPr>
      <w:rPr>
        <w:rFonts w:ascii="Courier New" w:cs="Courier New" w:eastAsia="Courier New" w:hAnsi="Courier New"/>
      </w:rPr>
    </w:lvl>
    <w:lvl w:ilvl="8">
      <w:start w:val="1"/>
      <w:numFmt w:val="bullet"/>
      <w:lvlText w:val="▪"/>
      <w:lvlJc w:val="left"/>
      <w:pPr>
        <w:ind w:left="654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76" w:lineRule="auto"/>
      <w:jc w:val="left"/>
    </w:pPr>
    <w:rPr>
      <w:b w:val="1"/>
      <w:bCs w:val="1"/>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