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hAnsi="Times New Roman"/>
          <w:b/>
          <w:sz w:val="32"/>
        </w:rPr>
        <w:t>DOKUMEN CD-2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3220720" cy="1075690"/>
            <wp:effectExtent b="0" l="0" r="0" t="0"/>
            <wp:docPr descr="A picture containing text, clipart, tableware, plate&#10;&#10;Description automatically generated" id="2" name="image2.png"/>
            <a:graphic>
              <a:graphicData uri="http://schemas.openxmlformats.org/drawingml/2006/picture">
                <pic:pic>
                  <pic:nvPicPr>
                    <pic:cNvPr descr="A picture containing text, clipart, tableware, plate&#10;&#10;Description automatically generated" id="0" name="image2.png"/>
                    <pic:cNvPicPr preferRelativeResize="0"/>
                  </pic:nvPicPr>
                  <pic:blipFill>
                    <a:blip r:embed="rId6"/>
                    <a:srcRect b="0" l="0" r="0" t="0"/>
                    <a:stretch>
                      <a:fillRect/>
                    </a:stretch>
                  </pic:blipFill>
                  <pic:spPr>
                    <a:xfrm>
                      <a:off x="0" y="0"/>
                      <a:ext cx="3220720" cy="10756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Pr>
          <w:rFonts w:ascii="Times New Roman" w:hAnsi="Times New Roman"/>
          <w:b/>
          <w:sz w:val="28"/>
        </w:rPr>
        <w:t>ANALISIS PERMASALAHAN PENYIRAMAN MANUAL PADA KEBUN JERUK LIMAU DI CIBERES SUBANG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right="-8"/>
        <w:jc w:val="center"/>
        <w:rPr/>
      </w:pPr>
      <w:r>
        <w:rPr>
          <w:rFonts w:ascii="Times New Roman" w:hAnsi="Times New Roman"/>
          <w:sz w:val="24"/>
        </w:rPr>
        <w:t>Oleh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right="-8"/>
        <w:jc w:val="center"/>
        <w:rPr>
          <w:b w:val="1"/>
          <w:bCs w:val="1"/>
          <w:color w:val="000000"/>
        </w:rPr>
      </w:pPr>
      <w:r>
        <w:rPr>
          <w:rFonts w:ascii="Times New Roman" w:hAnsi="Times New Roman"/>
          <w:sz w:val="24"/>
        </w:rPr>
        <w:t>Muhammad Al Qarnie / 101032330043</w:t>
      </w:r>
    </w:p>
    <w:p w:rsidR="00000000" w:rsidDel="00000000" w:rsidP="00000000" w:rsidRDefault="00000000" w:rsidRPr="00000000" w14:paraId="00000015">
      <w:pPr>
        <w:ind w:right="-8"/>
        <w:jc w:val="center"/>
        <w:rPr>
          <w:b w:val="1"/>
          <w:bCs w:val="1"/>
          <w:color w:val="000000"/>
        </w:rPr>
      </w:pPr>
      <w:r>
        <w:rPr>
          <w:rFonts w:ascii="Times New Roman" w:hAnsi="Times New Roman"/>
          <w:sz w:val="24"/>
        </w:rPr>
        <w:t>Maheswara Ariq Athallah / 101032300050</w:t>
      </w:r>
    </w:p>
    <w:p w:rsidR="00000000" w:rsidDel="00000000" w:rsidP="00000000" w:rsidRDefault="00000000" w:rsidRPr="00000000" w14:paraId="00000016">
      <w:pPr>
        <w:ind w:right="-8"/>
        <w:jc w:val="center"/>
        <w:rPr>
          <w:b w:val="1"/>
          <w:bCs w:val="1"/>
          <w:color w:val="000000"/>
        </w:rPr>
      </w:pPr>
      <w:r>
        <w:rPr>
          <w:rFonts w:ascii="Times New Roman" w:hAnsi="Times New Roman"/>
          <w:sz w:val="24"/>
        </w:rPr>
        <w:t>Daffa Hermansyah / 101032330090</w:t>
      </w:r>
    </w:p>
    <w:p w:rsidR="00000000" w:rsidDel="00000000" w:rsidP="00000000" w:rsidRDefault="00000000" w:rsidRPr="00000000" w14:paraId="00000017">
      <w:pPr>
        <w:ind w:right="-8"/>
        <w:jc w:val="center"/>
        <w:rPr/>
      </w:pPr>
      <w:r w:rsidDel="00000000" w:rsidR="00000000" w:rsidRPr="00000000">
        <w:rPr>
          <w:rtl w:val="0"/>
        </w:rPr>
      </w:r>
    </w:p>
    <w:p w:rsidR="00000000" w:rsidDel="00000000" w:rsidP="00000000" w:rsidRDefault="00000000" w:rsidRPr="00000000" w14:paraId="00000018">
      <w:pPr>
        <w:ind w:right="-8"/>
        <w:jc w:val="center"/>
        <w:rPr/>
      </w:pPr>
      <w:r w:rsidDel="00000000" w:rsidR="00000000" w:rsidRPr="00000000">
        <w:rPr>
          <w:rtl w:val="0"/>
        </w:rPr>
      </w:r>
    </w:p>
    <w:p w:rsidR="00000000" w:rsidDel="00000000" w:rsidP="00000000" w:rsidRDefault="00000000" w:rsidRPr="00000000" w14:paraId="00000019">
      <w:pPr>
        <w:ind w:right="-8"/>
        <w:jc w:val="center"/>
        <w:rPr/>
      </w:pPr>
      <w:r w:rsidDel="00000000" w:rsidR="00000000" w:rsidRPr="00000000">
        <w:rPr>
          <w:rtl w:val="0"/>
        </w:rPr>
      </w:r>
    </w:p>
    <w:p w:rsidR="00000000" w:rsidDel="00000000" w:rsidP="00000000" w:rsidRDefault="00000000" w:rsidRPr="00000000" w14:paraId="0000001A">
      <w:pPr>
        <w:jc w:val="right"/>
        <w:rPr>
          <w:u w:val="single"/>
        </w:rPr>
      </w:pPr>
      <w:r w:rsidDel="00000000" w:rsidR="00000000" w:rsidRPr="00000000">
        <w:rPr>
          <w:rtl w:val="0"/>
        </w:rPr>
      </w:r>
    </w:p>
    <w:p w:rsidR="00000000" w:rsidDel="00000000" w:rsidP="00000000" w:rsidRDefault="00000000" w:rsidRPr="00000000" w14:paraId="0000001B">
      <w:pPr>
        <w:jc w:val="right"/>
        <w:rPr>
          <w:u w:val="single"/>
        </w:rPr>
      </w:pPr>
      <w:r w:rsidDel="00000000" w:rsidR="00000000" w:rsidRPr="00000000">
        <w:rPr>
          <w:rtl w:val="0"/>
        </w:rPr>
      </w:r>
    </w:p>
    <w:p w:rsidR="00000000" w:rsidDel="00000000" w:rsidP="00000000" w:rsidRDefault="00000000" w:rsidRPr="00000000" w14:paraId="0000001C">
      <w:pPr>
        <w:jc w:val="right"/>
        <w:rPr>
          <w:u w:val="single"/>
        </w:rPr>
      </w:pPr>
      <w:r w:rsidDel="00000000" w:rsidR="00000000" w:rsidRPr="00000000">
        <w:rPr>
          <w:rtl w:val="0"/>
        </w:rPr>
      </w:r>
    </w:p>
    <w:p w:rsidR="00000000" w:rsidDel="00000000" w:rsidP="00000000" w:rsidRDefault="00000000" w:rsidRPr="00000000" w14:paraId="0000001D">
      <w:pPr>
        <w:jc w:val="right"/>
        <w:rPr>
          <w:u w:val="single"/>
        </w:rPr>
      </w:pPr>
      <w:r w:rsidDel="00000000" w:rsidR="00000000" w:rsidRPr="00000000">
        <w:rPr>
          <w:rtl w:val="0"/>
        </w:rPr>
      </w:r>
    </w:p>
    <w:p w:rsidR="00000000" w:rsidDel="00000000" w:rsidP="00000000" w:rsidRDefault="00000000" w:rsidRPr="00000000" w14:paraId="0000001E">
      <w:pPr>
        <w:jc w:val="right"/>
        <w:rPr>
          <w:u w:val="single"/>
        </w:rPr>
      </w:pPr>
      <w:r w:rsidDel="00000000" w:rsidR="00000000" w:rsidRPr="00000000">
        <w:rPr>
          <w:rtl w:val="0"/>
        </w:rPr>
      </w:r>
    </w:p>
    <w:p w:rsidR="00000000" w:rsidDel="00000000" w:rsidP="00000000" w:rsidRDefault="00000000" w:rsidRPr="00000000" w14:paraId="0000001F">
      <w:pPr>
        <w:jc w:val="right"/>
        <w:rPr>
          <w:u w:val="single"/>
        </w:rPr>
      </w:pPr>
      <w:r w:rsidDel="00000000" w:rsidR="00000000" w:rsidRPr="00000000">
        <w:rPr>
          <w:rtl w:val="0"/>
        </w:rPr>
      </w:r>
    </w:p>
    <w:p w:rsidR="00000000" w:rsidDel="00000000" w:rsidP="00000000" w:rsidRDefault="00000000" w:rsidRPr="00000000" w14:paraId="00000020">
      <w:pPr>
        <w:ind w:right="24" w:hanging="5"/>
        <w:jc w:val="center"/>
        <w:rPr>
          <w:b w:val="1"/>
          <w:bCs w:val="1"/>
          <w:sz w:val="28"/>
          <w:szCs w:val="28"/>
        </w:rPr>
      </w:pPr>
      <w:r>
        <w:rPr>
          <w:rFonts w:ascii="Times New Roman" w:hAnsi="Times New Roman"/>
          <w:b/>
          <w:sz w:val="28"/>
        </w:rPr>
        <w:t>PRODI S1 TEKNIK KOMPUTER</w:t>
      </w:r>
    </w:p>
    <w:p w:rsidR="00000000" w:rsidDel="00000000" w:rsidP="00000000" w:rsidRDefault="00000000" w:rsidRPr="00000000" w14:paraId="00000021">
      <w:pPr>
        <w:ind w:right="24" w:hanging="5"/>
        <w:jc w:val="center"/>
        <w:rPr>
          <w:b w:val="1"/>
          <w:bCs w:val="1"/>
          <w:sz w:val="28"/>
          <w:szCs w:val="28"/>
        </w:rPr>
      </w:pPr>
      <w:r>
        <w:rPr>
          <w:rFonts w:ascii="Times New Roman" w:hAnsi="Times New Roman"/>
          <w:b/>
          <w:sz w:val="28"/>
        </w:rPr>
        <w:t>FAKULTAS TEKNIK ELEKTRO</w:t>
      </w:r>
    </w:p>
    <w:p w:rsidR="00000000" w:rsidDel="00000000" w:rsidP="00000000" w:rsidRDefault="00000000" w:rsidRPr="00000000" w14:paraId="00000022">
      <w:pPr>
        <w:ind w:right="24" w:hanging="5"/>
        <w:jc w:val="center"/>
        <w:rPr>
          <w:b w:val="1"/>
          <w:bCs w:val="1"/>
          <w:sz w:val="28"/>
          <w:szCs w:val="28"/>
        </w:rPr>
      </w:pPr>
      <w:r>
        <w:rPr>
          <w:rFonts w:ascii="Times New Roman" w:hAnsi="Times New Roman"/>
          <w:b/>
          <w:sz w:val="28"/>
        </w:rPr>
        <w:t>UNIVERSITAS TELKOM</w:t>
      </w:r>
    </w:p>
    <w:p w:rsidR="00000000" w:rsidDel="00000000" w:rsidP="00000000" w:rsidRDefault="00000000" w:rsidRPr="00000000" w14:paraId="00000023">
      <w:pPr>
        <w:ind w:right="24" w:hanging="5"/>
        <w:jc w:val="center"/>
        <w:rPr>
          <w:b w:val="1"/>
          <w:bCs w:val="1"/>
          <w:sz w:val="28"/>
          <w:szCs w:val="28"/>
        </w:rPr>
      </w:pPr>
      <w:r>
        <w:rPr>
          <w:rFonts w:ascii="Times New Roman" w:hAnsi="Times New Roman"/>
          <w:b/>
          <w:sz w:val="28"/>
        </w:rPr>
        <w:t>BANDUNG</w:t>
      </w:r>
    </w:p>
    <w:p w:rsidR="00000000" w:rsidDel="00000000" w:rsidP="00000000" w:rsidRDefault="00000000" w:rsidRPr="00000000" w14:paraId="00000024">
      <w:pPr>
        <w:ind w:right="24" w:hanging="5"/>
        <w:jc w:val="center"/>
        <w:rPr>
          <w:b w:val="1"/>
          <w:bCs w:val="1"/>
          <w:sz w:val="28"/>
          <w:szCs w:val="28"/>
        </w:rPr>
        <w:sectPr>
          <w:headerReference r:id="rId7" w:type="default"/>
          <w:footerReference r:id="rId8" w:type="default"/>
          <w:pgSz w:h="16838" w:w="11906" w:orient="portrait"/>
          <w:pgMar w:bottom="1440" w:top="1440" w:left="1440" w:right="1440" w:header="708" w:footer="708"/>
          <w:pgNumType w:start="1"/>
          <w:titlePg w:val="1"/>
        </w:sectPr>
      </w:pPr>
      <w:r>
        <w:rPr>
          <w:rFonts w:ascii="Times New Roman" w:hAnsi="Times New Roman"/>
          <w:b/>
          <w:sz w:val="28"/>
        </w:rPr>
        <w:t>2026</w:t>
      </w:r>
    </w:p>
    <w:p w:rsidR="00000000" w:rsidDel="00000000" w:rsidP="00000000" w:rsidRDefault="00000000" w:rsidRPr="00000000" w14:paraId="00000025">
      <w:pPr>
        <w:spacing w:line="360" w:lineRule="auto"/>
        <w:jc w:val="center"/>
        <w:rPr>
          <w:b w:val="1"/>
          <w:bCs w:val="1"/>
          <w:color w:val="000000"/>
          <w:sz w:val="28"/>
          <w:szCs w:val="28"/>
        </w:rPr>
      </w:pPr>
      <w:bookmarkStart w:colFirst="0" w:colLast="0" w:name="_6afd48wl2f19" w:id="0"/>
      <w:bookmarkEnd w:id="0"/>
      <w:r w:rsidDel="00000000" w:rsidR="00000000" w:rsidRPr="00000000">
        <w:rPr>
          <w:b w:val="1"/>
          <w:bCs w:val="1"/>
          <w:color w:val="000000"/>
          <w:sz w:val="28"/>
          <w:szCs w:val="28"/>
          <w:rtl w:val="0"/>
        </w:rPr>
        <w:t xml:space="preserve">Lembar Pengesahan Dokumen</w:t>
      </w:r>
    </w:p>
    <w:p w:rsidR="00000000" w:rsidDel="00000000" w:rsidP="00000000" w:rsidRDefault="00000000" w:rsidRPr="00000000" w14:paraId="00000026">
      <w:pPr>
        <w:spacing w:line="360" w:lineRule="auto"/>
        <w:jc w:val="center"/>
        <w:rPr>
          <w:b w:val="1"/>
          <w:bCs w:val="1"/>
          <w:color w:val="000000"/>
          <w:sz w:val="28"/>
          <w:szCs w:val="28"/>
        </w:rPr>
      </w:pPr>
      <w:r w:rsidDel="00000000" w:rsidR="00000000" w:rsidRPr="00000000">
        <w:rPr>
          <w:rtl w:val="0"/>
        </w:rPr>
      </w:r>
    </w:p>
    <w:tbl>
      <w:tblPr>
        <w:tblStyle w:val="Table1"/>
        <w:tblW w:w="90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25"/>
        <w:gridCol w:w="270"/>
        <w:gridCol w:w="5520"/>
        <w:tblGridChange w:id="0">
          <w:tblGrid>
            <w:gridCol w:w="3225"/>
            <w:gridCol w:w="270"/>
            <w:gridCol w:w="5520"/>
          </w:tblGrid>
        </w:tblGridChange>
      </w:tblGrid>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7">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Judul Capstone Design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8">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Analisis Permasalahan Penyiraman Manual pada Kebun Jeruk Limau di Ciberes Subang</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A">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Jenis Dokumen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B">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Spesifikasi</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Nomor Dokumen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FTE-CD-2</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Nomor Revisi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1">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00</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3">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Tanggal Pengesahan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4">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29/10/2026</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6">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Fakultas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7">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Fakultas Teknik Elektro</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9">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Program Studi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S1 Teknik Komputer</w:t>
            </w:r>
          </w:p>
        </w:tc>
      </w:tr>
      <w:tr>
        <w:trPr>
          <w:cantSplit w:val="0"/>
          <w:tblHeader w:val="0"/>
          <w:cantSpli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C">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Jumlah Halaman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0" w:val="nil"/>
            </w:tcBorders>
            <w:shd w:fill="auto" w:val="clear"/>
          </w:tcPr>
          <w:p>
            <w:pPr>
              <w:spacing w:line="276" w:lineRule="auto" w:after="40"/>
            </w:pPr>
            <w:r>
              <w:rPr>
                <w:rFonts w:ascii="Times New Roman" w:hAnsi="Times New Roman"/>
                <w:sz w:val="20"/>
              </w:rPr>
              <w:t>21 halaman</w:t>
            </w:r>
          </w:p>
        </w:tc>
      </w:tr>
    </w:tbl>
    <w:p w:rsidR="00000000" w:rsidDel="00000000" w:rsidP="00000000" w:rsidRDefault="00000000" w:rsidRPr="00000000" w14:paraId="0000003F">
      <w:pPr>
        <w:jc w:val="center"/>
        <w:rPr>
          <w:b w:val="1"/>
          <w:bCs w:val="1"/>
        </w:rPr>
      </w:pPr>
      <w:r w:rsidDel="00000000" w:rsidR="00000000" w:rsidRPr="00000000">
        <w:rPr>
          <w:rtl w:val="0"/>
        </w:rPr>
      </w:r>
    </w:p>
    <w:tbl>
      <w:tblPr>
        <w:tblStyle w:val="Table2"/>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154"/>
        <w:gridCol w:w="1080"/>
        <w:gridCol w:w="2698"/>
        <w:gridCol w:w="1799"/>
        <w:gridCol w:w="2279"/>
        <w:tblGridChange w:id="0">
          <w:tblGrid>
            <w:gridCol w:w="1154"/>
            <w:gridCol w:w="1080"/>
            <w:gridCol w:w="2698"/>
            <w:gridCol w:w="1799"/>
            <w:gridCol w:w="2279"/>
          </w:tblGrid>
        </w:tblGridChange>
      </w:tblGrid>
      <w:tr>
        <w:trPr>
          <w:cantSplit w:val="0"/>
          <w:tblHeader w:val="0"/>
          <w:cantSplit/>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Data Pemeriksaan dan Persetujuan </w:t>
            </w:r>
            <w:r w:rsidDel="00000000" w:rsidR="00000000" w:rsidRPr="00000000">
              <w:rPr>
                <w:rFonts w:ascii="Times New Roman" w:hAnsi="Times New Roman"/>
                <w:sz w:val="20"/>
                <w:rtl w:val="0"/>
              </w:rPr>
            </w:r>
          </w:p>
        </w:tc>
      </w:tr>
      <w:tr>
        <w:trPr>
          <w:cantSplit w:val="0"/>
          <w:tblHeader w:val="0"/>
          <w:cantSplit/>
        </w:trPr>
        <w:tc>
          <w:tcPr>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Ditulis Oleh </w:t>
            </w:r>
            <w:r w:rsidDel="00000000" w:rsidR="00000000" w:rsidRPr="00000000">
              <w:rPr>
                <w:rFonts w:ascii="Times New Roman" w:hAnsi="Times New Roman"/>
                <w:sz w:val="20"/>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46">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Nama </w:t>
            </w:r>
            <w:r w:rsidDel="00000000" w:rsidR="00000000" w:rsidRPr="00000000">
              <w:rPr>
                <w:rFonts w:ascii="Times New Roman" w:hAnsi="Times New Roman"/>
                <w:sz w:val="20"/>
                <w:rtl w:val="0"/>
              </w:rPr>
            </w:r>
          </w:p>
        </w:tc>
        <w:tc>
          <w:tcPr>
            <w:tcBorders>
              <w:top w:color="000000" w:space="0" w:sz="6" w:val="single"/>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Muhammad Al Qarnie</w:t>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48">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Jabatan </w:t>
            </w:r>
            <w:r w:rsidDel="00000000" w:rsidR="00000000" w:rsidRPr="00000000">
              <w:rPr>
                <w:rFonts w:ascii="Times New Roman" w:hAnsi="Times New Roman"/>
                <w:sz w:val="20"/>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49">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Mahasiswa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4B">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NIM </w:t>
            </w:r>
            <w:r w:rsidDel="00000000" w:rsidR="00000000" w:rsidRPr="00000000">
              <w:rPr>
                <w:rFonts w:ascii="Times New Roman" w:hAnsi="Times New Roman"/>
                <w:sz w:val="20"/>
                <w:rtl w:val="0"/>
              </w:rPr>
            </w:r>
          </w:p>
          <w:p w:rsidR="00000000" w:rsidDel="00000000" w:rsidP="00000000" w:rsidRDefault="00000000" w:rsidRPr="00000000" w14:paraId="0000004C">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4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4E">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101032330043</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Tanda Tangan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1">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3">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Nama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Maheswara Ariq Athallah</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5">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Jabatan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6">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Mahasiswa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8">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NIM </w:t>
            </w:r>
            <w:r w:rsidDel="00000000" w:rsidR="00000000" w:rsidRPr="00000000">
              <w:rPr>
                <w:rFonts w:ascii="Times New Roman" w:hAnsi="Times New Roman"/>
                <w:sz w:val="20"/>
                <w:rtl w:val="0"/>
              </w:rPr>
            </w:r>
          </w:p>
          <w:p w:rsidR="00000000" w:rsidDel="00000000" w:rsidP="00000000" w:rsidRDefault="00000000" w:rsidRPr="00000000" w14:paraId="00000059">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5A">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5B">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101032300050</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Tanda Tangan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E">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6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Nama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Daffa Hermansyah</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62">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Jabatan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63">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Mahasiswa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65">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NIM </w:t>
            </w:r>
            <w:r w:rsidDel="00000000" w:rsidR="00000000" w:rsidRPr="00000000">
              <w:rPr>
                <w:rFonts w:ascii="Times New Roman" w:hAnsi="Times New Roman"/>
                <w:sz w:val="20"/>
                <w:rtl w:val="0"/>
              </w:rPr>
            </w:r>
          </w:p>
          <w:p w:rsidR="00000000" w:rsidDel="00000000" w:rsidP="00000000" w:rsidRDefault="00000000" w:rsidRPr="00000000" w14:paraId="00000066">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67">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68">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6" w:val="single"/>
              <w:right w:color="000000" w:space="0" w:sz="6" w:val="single"/>
            </w:tcBorders>
            <w:shd w:fill="auto" w:val="clear"/>
          </w:tcPr>
          <w:p>
            <w:pPr>
              <w:spacing w:line="276" w:lineRule="auto" w:after="40"/>
            </w:pPr>
            <w:r>
              <w:rPr>
                <w:rFonts w:ascii="Times New Roman" w:hAnsi="Times New Roman"/>
                <w:sz w:val="20"/>
              </w:rPr>
              <w:t>: 101032330090</w:t>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6A">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Tanda Tangan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6B">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r>
      <w:tr>
        <w:trPr>
          <w:cantSplit w:val="0"/>
          <w:tblHeader w:val="0"/>
          <w:cantSplit/>
        </w:trPr>
        <w:tc>
          <w:tcPr>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Disetujui Oleh </w:t>
            </w:r>
            <w:r w:rsidDel="00000000" w:rsidR="00000000" w:rsidRPr="00000000">
              <w:rPr>
                <w:rFonts w:ascii="Times New Roman" w:hAnsi="Times New Roman"/>
                <w:sz w:val="20"/>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6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Nama </w:t>
            </w:r>
            <w:r w:rsidDel="00000000" w:rsidR="00000000" w:rsidRPr="00000000">
              <w:rPr>
                <w:rFonts w:ascii="Times New Roman" w:hAnsi="Times New Roman"/>
                <w:sz w:val="20"/>
                <w:rtl w:val="0"/>
              </w:rPr>
            </w:r>
          </w:p>
        </w:tc>
        <w:tc>
          <w:tcPr>
            <w:tcBorders>
              <w:top w:color="000000" w:space="0" w:sz="6" w:val="single"/>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Dr. Agung Nugroho Jati, S.T., M.T.</w:t>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6F">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Jabatan </w:t>
            </w:r>
            <w:r w:rsidDel="00000000" w:rsidR="00000000" w:rsidRPr="00000000">
              <w:rPr>
                <w:rFonts w:ascii="Times New Roman" w:hAnsi="Times New Roman"/>
                <w:sz w:val="20"/>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7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Pembimbing 1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2">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Tanggal </w:t>
            </w:r>
            <w:r w:rsidDel="00000000" w:rsidR="00000000" w:rsidRPr="00000000">
              <w:rPr>
                <w:rFonts w:ascii="Times New Roman" w:hAnsi="Times New Roman"/>
                <w:sz w:val="20"/>
                <w:rtl w:val="0"/>
              </w:rPr>
            </w:r>
          </w:p>
          <w:p w:rsidR="00000000" w:rsidDel="00000000" w:rsidP="00000000" w:rsidRDefault="00000000" w:rsidRPr="00000000" w14:paraId="00000073">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74">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75">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 29/10/2026</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7">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Tanda Tangan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8">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A">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Nama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pPr>
              <w:spacing w:line="276" w:lineRule="auto" w:after="40"/>
            </w:pPr>
            <w:r>
              <w:rPr>
                <w:rFonts w:ascii="Times New Roman" w:hAnsi="Times New Roman"/>
                <w:sz w:val="20"/>
              </w:rPr>
              <w:t>:</w:t>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C">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Jabatan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D">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Pembimbing 2 </w:t>
            </w:r>
            <w:r w:rsidDel="00000000" w:rsidR="00000000" w:rsidRPr="00000000">
              <w:rPr>
                <w:rFonts w:ascii="Times New Roman" w:hAnsi="Times New Roman"/>
                <w:sz w:val="20"/>
                <w:rtl w:val="0"/>
              </w:rPr>
            </w:r>
          </w:p>
        </w:tc>
      </w:tr>
      <w:tr>
        <w:trPr>
          <w:cantSplit w:val="0"/>
          <w:tblHeader w:val="0"/>
          <w:cantSplit/>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7F">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Tanggal </w:t>
            </w:r>
            <w:r w:rsidDel="00000000" w:rsidR="00000000" w:rsidRPr="00000000">
              <w:rPr>
                <w:rFonts w:ascii="Times New Roman" w:hAnsi="Times New Roman"/>
                <w:sz w:val="20"/>
                <w:rtl w:val="0"/>
              </w:rPr>
            </w:r>
          </w:p>
          <w:p w:rsidR="00000000" w:rsidDel="00000000" w:rsidP="00000000" w:rsidRDefault="00000000" w:rsidRPr="00000000" w14:paraId="00000080">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81">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p w:rsidR="00000000" w:rsidDel="00000000" w:rsidP="00000000" w:rsidRDefault="00000000" w:rsidRPr="00000000" w14:paraId="00000082">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6" w:val="single"/>
              <w:right w:color="000000" w:space="0" w:sz="6" w:val="single"/>
            </w:tcBorders>
            <w:shd w:fill="auto" w:val="clear"/>
          </w:tcPr>
          <w:p>
            <w:pPr>
              <w:spacing w:line="276" w:lineRule="auto" w:after="40"/>
            </w:pPr>
            <w:r>
              <w:rPr>
                <w:rFonts w:ascii="Times New Roman" w:hAnsi="Times New Roman"/>
                <w:sz w:val="20"/>
              </w:rPr>
              <w:t>:</w:t>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84">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Tanda Tangan </w:t>
            </w:r>
            <w:r w:rsidDel="00000000" w:rsidR="00000000" w:rsidRPr="00000000">
              <w:rPr>
                <w:rFonts w:ascii="Times New Roman" w:hAnsi="Times New Roman"/>
                <w:sz w:val="20"/>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85">
            <w:pPr>
              <w:spacing w:line="276" w:lineRule="auto" w:after="40"/>
              <w:jc w:val="left"/>
              <w:rPr>
                <w:rFonts w:ascii="Quattrocento Sans" w:cs="Quattrocento Sans" w:eastAsia="Quattrocento Sans" w:hAnsi="Quattrocento Sans"/>
                <w:sz w:val="18"/>
                <w:szCs w:val="18"/>
              </w:rPr>
            </w:pPr>
            <w:r w:rsidDel="00000000" w:rsidR="00000000" w:rsidRPr="00000000">
              <w:rPr>
                <w:rFonts w:ascii="Times New Roman" w:hAnsi="Times New Roman"/>
                <w:sz w:val="20"/>
                <w:szCs w:val="20"/>
                <w:rtl w:val="0"/>
              </w:rPr>
              <w:t xml:space="preserve"> </w:t>
            </w:r>
            <w:r w:rsidDel="00000000" w:rsidR="00000000" w:rsidRPr="00000000">
              <w:rPr>
                <w:rFonts w:ascii="Times New Roman" w:hAnsi="Times New Roman"/>
                <w:sz w:val="20"/>
                <w:rtl w:val="0"/>
              </w:rPr>
            </w:r>
          </w:p>
        </w:tc>
      </w:tr>
    </w:tbl>
    <w:p w:rsidR="00000000" w:rsidDel="00000000" w:rsidP="00000000" w:rsidRDefault="00000000" w:rsidRPr="00000000" w14:paraId="00000086">
      <w:pPr>
        <w:jc w:val="center"/>
        <w:rPr>
          <w:b w:val="1"/>
          <w:bCs w:val="1"/>
        </w:rPr>
      </w:pPr>
      <w:r w:rsidDel="00000000" w:rsidR="00000000" w:rsidRPr="00000000">
        <w:rPr>
          <w:rtl w:val="0"/>
        </w:rPr>
      </w:r>
    </w:p>
    <w:p w:rsidR="00000000" w:rsidDel="00000000" w:rsidP="00000000" w:rsidRDefault="00000000" w:rsidRPr="00000000" w14:paraId="00000087">
      <w:pPr>
        <w:ind w:left="119" w:firstLine="0"/>
        <w:jc w:val="center"/>
        <w:rPr>
          <w:b w:val="1"/>
          <w:bCs w:val="1"/>
          <w:sz w:val="22"/>
          <w:szCs w:val="22"/>
          <w:vertAlign w:val="baseline"/>
        </w:rPr>
      </w:pPr>
      <w:r w:rsidDel="00000000" w:rsidR="00000000" w:rsidRPr="00000000">
        <w:rPr>
          <w:rtl w:val="0"/>
        </w:rPr>
      </w:r>
    </w:p>
    <w:p w:rsidR="00000000" w:rsidDel="00000000" w:rsidP="00000000" w:rsidRDefault="00000000" w:rsidRPr="00000000" w14:paraId="00000088">
      <w:pPr>
        <w:spacing w:after="160" w:line="259" w:lineRule="auto"/>
        <w:jc w:val="cente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Timeline Revisi Dokumen</w:t>
      </w:r>
    </w:p>
    <w:p w:rsidR="00000000" w:rsidDel="00000000" w:rsidP="00000000" w:rsidRDefault="00000000" w:rsidRPr="00000000" w14:paraId="00000089">
      <w:pPr>
        <w:spacing w:after="160" w:line="259" w:lineRule="auto"/>
        <w:jc w:val="center"/>
        <w:rPr>
          <w:b w:val="1"/>
          <w:bCs w:val="1"/>
          <w:color w:val="000000"/>
          <w:sz w:val="28"/>
          <w:szCs w:val="28"/>
        </w:rPr>
      </w:pPr>
      <w:r w:rsidDel="00000000" w:rsidR="00000000" w:rsidRPr="00000000">
        <w:rPr>
          <w:rtl w:val="0"/>
        </w:rPr>
      </w:r>
    </w:p>
    <w:tbl>
      <w:tblPr>
        <w:tblStyle w:val="Table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610"/>
        <w:gridCol w:w="3240"/>
        <w:gridCol w:w="1635"/>
        <w:tblGridChange w:id="0">
          <w:tblGrid>
            <w:gridCol w:w="1515"/>
            <w:gridCol w:w="2610"/>
            <w:gridCol w:w="3240"/>
            <w:gridCol w:w="1635"/>
          </w:tblGrid>
        </w:tblGridChange>
      </w:tblGrid>
      <w:tr>
        <w:trPr>
          <w:cantSplit w:val="0"/>
          <w:tblHeader w:val="0"/>
          <w:cantSplit/>
        </w:trPr>
        <w:tc>
          <w:tcPr>
            <w:shd w:fill="auto" w:val="clear"/>
            <w:vAlign w:val="center"/>
          </w:tcPr>
          <w:p w:rsidR="00000000" w:rsidDel="00000000" w:rsidP="00000000" w:rsidRDefault="00000000" w:rsidRPr="00000000" w14:paraId="0000008A">
            <w:pPr>
              <w:spacing w:line="276" w:lineRule="auto" w:after="40"/>
              <w:jc w:val="center"/>
              <w:rPr>
                <w:b w:val="1"/>
                <w:bCs w:val="1"/>
              </w:rPr>
            </w:pPr>
            <w:r w:rsidDel="00000000" w:rsidR="00000000" w:rsidRPr="00000000">
              <w:rPr>
                <w:rFonts w:ascii="Times New Roman" w:hAnsi="Times New Roman"/>
                <w:b w:val="1"/>
                <w:bCs w:val="1"/>
                <w:sz w:val="20"/>
                <w:rtl w:val="0"/>
              </w:rPr>
              <w:t xml:space="preserve">Versi, Tanggal</w:t>
            </w:r>
          </w:p>
        </w:tc>
        <w:tc>
          <w:tcPr>
            <w:shd w:fill="auto" w:val="clear"/>
            <w:vAlign w:val="center"/>
          </w:tcPr>
          <w:p w:rsidR="00000000" w:rsidDel="00000000" w:rsidP="00000000" w:rsidRDefault="00000000" w:rsidRPr="00000000" w14:paraId="0000008B">
            <w:pPr>
              <w:spacing w:line="276" w:lineRule="auto" w:after="40"/>
              <w:jc w:val="center"/>
              <w:rPr>
                <w:b w:val="1"/>
                <w:bCs w:val="1"/>
              </w:rPr>
            </w:pPr>
            <w:r w:rsidDel="00000000" w:rsidR="00000000" w:rsidRPr="00000000">
              <w:rPr>
                <w:rFonts w:ascii="Times New Roman" w:hAnsi="Times New Roman"/>
                <w:b w:val="1"/>
                <w:bCs w:val="1"/>
                <w:sz w:val="20"/>
                <w:rtl w:val="0"/>
              </w:rPr>
              <w:t xml:space="preserve">Revisi</w:t>
            </w:r>
          </w:p>
        </w:tc>
        <w:tc>
          <w:tcPr>
            <w:shd w:fill="auto" w:val="clear"/>
            <w:vAlign w:val="center"/>
          </w:tcPr>
          <w:p w:rsidR="00000000" w:rsidDel="00000000" w:rsidP="00000000" w:rsidRDefault="00000000" w:rsidRPr="00000000" w14:paraId="0000008C">
            <w:pPr>
              <w:spacing w:line="276" w:lineRule="auto" w:after="40"/>
              <w:jc w:val="center"/>
              <w:rPr>
                <w:b w:val="1"/>
                <w:bCs w:val="1"/>
              </w:rPr>
            </w:pPr>
            <w:r w:rsidDel="00000000" w:rsidR="00000000" w:rsidRPr="00000000">
              <w:rPr>
                <w:rFonts w:ascii="Times New Roman" w:hAnsi="Times New Roman"/>
                <w:b w:val="1"/>
                <w:bCs w:val="1"/>
                <w:sz w:val="20"/>
                <w:rtl w:val="0"/>
              </w:rPr>
              <w:t xml:space="preserve">Perbaikan yang dilakukan</w:t>
            </w:r>
          </w:p>
        </w:tc>
        <w:tc>
          <w:tcPr>
            <w:shd w:fill="auto" w:val="clear"/>
            <w:vAlign w:val="center"/>
          </w:tcPr>
          <w:p w:rsidR="00000000" w:rsidDel="00000000" w:rsidP="00000000" w:rsidRDefault="00000000" w:rsidRPr="00000000" w14:paraId="0000008D">
            <w:pPr>
              <w:spacing w:line="276" w:lineRule="auto" w:after="40"/>
              <w:jc w:val="center"/>
              <w:rPr>
                <w:b w:val="1"/>
                <w:bCs w:val="1"/>
              </w:rPr>
            </w:pPr>
            <w:r w:rsidDel="00000000" w:rsidR="00000000" w:rsidRPr="00000000">
              <w:rPr>
                <w:rFonts w:ascii="Times New Roman" w:hAnsi="Times New Roman"/>
                <w:b w:val="1"/>
                <w:bCs w:val="1"/>
                <w:sz w:val="20"/>
                <w:rtl w:val="0"/>
              </w:rPr>
              <w:t xml:space="preserve">Halaman Revisi</w:t>
            </w:r>
          </w:p>
        </w:tc>
      </w:tr>
      <w:tr>
        <w:trPr>
          <w:cantSplit w:val="0"/>
          <w:tblHeader w:val="0"/>
          <w:cantSplit/>
        </w:trPr>
        <w:tc>
          <w:tcPr>
            <w:vMerge w:val="restart"/>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t>Draf Awal CD-2</w:t>
            </w:r>
          </w:p>
        </w:tc>
        <w:tc>
          <w:tcPr/>
          <w:p>
            <w:pPr>
              <w:spacing w:line="276" w:lineRule="auto" w:after="40"/>
            </w:pPr>
            <w:r>
              <w:rPr>
                <w:rFonts w:ascii="Times New Roman" w:hAnsi="Times New Roman"/>
                <w:sz w:val="20"/>
              </w:rPr>
              <w:t>Penyusunan dasar penentuan spesifikasi berbasis multi-rujukan (wawancara mitra, regulasi pemerintah, standar ASABE/IEC/SNI, literatur agronomi), batasan rekayasa, matriks spesifikasi kuantitatif multi-aspek, serta metode pengukuran dan verifikasi terperinci.</w:t>
            </w:r>
          </w:p>
        </w:tc>
        <w:tc>
          <w:tcPr/>
          <w:p>
            <w:pPr>
              <w:spacing w:line="276" w:lineRule="auto" w:after="40"/>
            </w:pPr>
            <w:r>
              <w:rPr>
                <w:rFonts w:ascii="Times New Roman" w:hAnsi="Times New Roman"/>
                <w:sz w:val="20"/>
              </w:rPr>
              <w:t>Seluruh Dokumen</w:t>
            </w:r>
          </w:p>
        </w:tc>
      </w:tr>
      <w:tr>
        <w:trPr>
          <w:cantSplit w:val="0"/>
          <w:tblHeader w:val="0"/>
          <w:cantSplit/>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r>
      <w:tr>
        <w:trPr>
          <w:cantSplit w:val="0"/>
          <w:tblHeader w:val="0"/>
          <w:cantSplit/>
        </w:trPr>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r>
      <w:tr>
        <w:trPr>
          <w:cantSplit w:val="0"/>
          <w:tblHeader w:val="0"/>
          <w:cantSplit/>
        </w:trPr>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r>
      <w:tr>
        <w:trPr>
          <w:cantSplit w:val="0"/>
          <w:tblHeader w:val="0"/>
          <w:cantSplit/>
        </w:trPr>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c>
          <w:tcPr/>
          <w:p>
            <w:pPr>
              <w:spacing w:line="276" w:lineRule="auto" w:after="40"/>
            </w:pPr>
            <w:r>
              <w:rPr>
                <w:rFonts w:ascii="Times New Roman" w:hAnsi="Times New Roman"/>
                <w:sz w:val="20"/>
              </w:rPr>
            </w:r>
          </w:p>
        </w:tc>
      </w:tr>
    </w:tbl>
    <w:p w:rsidR="00000000" w:rsidDel="00000000" w:rsidP="00000000" w:rsidRDefault="00000000" w:rsidRPr="00000000" w14:paraId="000000A4">
      <w:pPr>
        <w:jc w:val="left"/>
        <w:rPr>
          <w:b w:val="1"/>
          <w:bCs w:val="1"/>
        </w:rPr>
      </w:pPr>
      <w:bookmarkStart w:colFirst="0" w:colLast="0" w:name="_m2vcqinhiy46" w:id="1"/>
      <w:bookmarkEnd w:id="1"/>
      <w:r w:rsidDel="00000000" w:rsidR="00000000" w:rsidRPr="00000000">
        <w:rPr>
          <w:rtl w:val="0"/>
        </w:rPr>
      </w:r>
    </w:p>
    <w:p w:rsidR="00000000" w:rsidDel="00000000" w:rsidP="00000000" w:rsidRDefault="00000000" w:rsidRPr="00000000" w14:paraId="000000A5">
      <w:pPr>
        <w:jc w:val="left"/>
        <w:rPr>
          <w:b w:val="1"/>
          <w:bCs w:val="1"/>
        </w:rPr>
        <w:sectPr>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pPr>
        <w:keepNext/>
        <w:spacing w:before="360" w:after="240" w:line="360" w:lineRule="auto"/>
        <w:jc w:val="center"/>
      </w:pPr>
      <w:r>
        <w:rPr>
          <w:rFonts w:ascii="Times New Roman" w:hAnsi="Times New Roman"/>
          <w:b/>
          <w:sz w:val="28"/>
        </w:rPr>
        <w:t>BAB 1</w:t>
        <w:br/>
        <w:t>SPESIFIKASI DAN BATASAN DESAIN SISTEM IRIGASI</w:t>
      </w:r>
    </w:p>
    <w:p>
      <w:pPr>
        <w:spacing w:before="0" w:after="120" w:line="360" w:lineRule="auto"/>
        <w:ind w:firstLine="562"/>
        <w:jc w:val="both"/>
      </w:pPr>
      <w:r>
        <w:rPr>
          <w:rFonts w:ascii="Times New Roman" w:hAnsi="Times New Roman"/>
          <w:sz w:val="24"/>
        </w:rPr>
        <w:t>Dokumen CD-2 ini merupakan kelanjutan langsung dari dokumen CD-1 (Analisis Permasalahan Penyiraman Manual pada Kebun Jeruk Limau di Ciberes Subang) yang telah disahkan oleh dosen pembimbing. Jika CD-1 berfokus pada identifikasi akar masalah, kendala empiris, kompleksitas permasalahan rekayasa, serta kajian kelemahan solusi eksisting, maka dokumen CD-2 ini menetapkan landasan batas operasional (constraints) dan spesifikasi kuantitatif (specifications) yang wajib dipenuhi oleh solusi rekayasa yang akan dirancang pada tahap CD-3.</w:t>
      </w:r>
    </w:p>
    <w:p>
      <w:pPr>
        <w:spacing w:before="0" w:after="120" w:line="360" w:lineRule="auto"/>
        <w:ind w:firstLine="562"/>
        <w:jc w:val="both"/>
      </w:pPr>
      <w:r>
        <w:rPr>
          <w:rFonts w:ascii="Times New Roman" w:hAnsi="Times New Roman"/>
          <w:sz w:val="24"/>
        </w:rPr>
        <w:t>Perumusan batasan dan spesifikasi ini dirancang secara terukur (measurable), realistis (feasible), memiliki dasar ilmiah yang kokoh (grounded), serta bersifat abstrak terhadap pilihan solusi atau merek tertentu (solution-agnostic). Pendekatan ini memastikan bahwa ruang perancangan pada tahap CD-3 tetap terbuka untuk mengevaluasi berbagai alternatif solusi (seperti jaringan mikroirigasi perpipaan, wahana bergerak semi-otonom, maupun sistem hibrida) tanpa bias awal pada merek atau teknologi perangkat keras tertentu.</w:t>
      </w:r>
    </w:p>
    <w:p>
      <w:pPr>
        <w:keepNext/>
        <w:spacing w:before="280" w:after="120" w:line="360" w:lineRule="auto"/>
        <w:jc w:val="left"/>
      </w:pPr>
      <w:r>
        <w:rPr>
          <w:rFonts w:ascii="Times New Roman" w:hAnsi="Times New Roman"/>
          <w:b/>
          <w:sz w:val="24"/>
        </w:rPr>
        <w:t>1.1 Dasar Penentuan Spesifikasi</w:t>
      </w:r>
    </w:p>
    <w:p>
      <w:pPr>
        <w:spacing w:before="0" w:after="120" w:line="360" w:lineRule="auto"/>
        <w:ind w:firstLine="562"/>
        <w:jc w:val="both"/>
      </w:pPr>
      <w:r>
        <w:rPr>
          <w:rFonts w:ascii="Times New Roman" w:hAnsi="Times New Roman"/>
          <w:sz w:val="24"/>
        </w:rPr>
        <w:t>Penentuan batasan dan spesifikasi dalam proses rekayasa sistem (engineering design process) tidak boleh didasarkan pada asumsi subjektif yang mengada-ada. Pada perancangan sistem irigasi kebun jeruk limau mitra di Ciberes, Subang, penetapan seluruh parameter kuantitatif didasarkan pada sintesis empat pilar rujukan utama: (1) kebutuhan pengguna dan data empiris mitra lapangan, (2) regulasi pemerintah dan standar teknis industri, (3) literatur ilmiah fisiologi tanaman dan neraca air, serta (4) karakteristik tapak lahan dan keterbatasan infrastruktur eksisting.</w:t>
      </w:r>
    </w:p>
    <w:p>
      <w:pPr>
        <w:keepNext/>
        <w:spacing w:before="200" w:after="80" w:line="360" w:lineRule="auto"/>
        <w:jc w:val="left"/>
      </w:pPr>
      <w:r>
        <w:rPr>
          <w:rFonts w:ascii="Times New Roman" w:hAnsi="Times New Roman"/>
          <w:b/>
          <w:sz w:val="24"/>
        </w:rPr>
        <w:t>1.1.1 Kebutuhan Pengguna dan Hasil Wawancara Lapangan (Mitra Ciberes)</w:t>
      </w:r>
    </w:p>
    <w:p>
      <w:pPr>
        <w:spacing w:before="0" w:after="120" w:line="360" w:lineRule="auto"/>
        <w:ind w:firstLine="562"/>
        <w:jc w:val="both"/>
      </w:pPr>
      <w:r>
        <w:rPr>
          <w:rFonts w:ascii="Times New Roman" w:hAnsi="Times New Roman"/>
          <w:sz w:val="24"/>
        </w:rPr>
        <w:t>Kebutuhan mitra pengelola kebun jeruk limau di Ciberes, Subang digali melalui wawancara mendalam dan observasi langsung di tapak kebun (Transkrip Wawancara Audio 1, terlampir). Dari hasil observasi tersebut, teridentifikasi sejumlah pain points operasional dan ekspektasi fungsional mitra:</w:t>
      </w:r>
    </w:p>
    <w:p>
      <w:pPr>
        <w:keepNext/>
        <w:spacing w:before="160" w:after="40" w:line="360" w:lineRule="auto"/>
        <w:ind w:firstLine="0"/>
        <w:jc w:val="both"/>
      </w:pPr>
      <w:r>
        <w:rPr>
          <w:rFonts w:ascii="Times New Roman" w:hAnsi="Times New Roman"/>
          <w:b/>
          <w:sz w:val="24"/>
        </w:rPr>
        <w:t>1. Beban Biaya Tenaga Kerja Manual</w:t>
      </w:r>
    </w:p>
    <w:p>
      <w:pPr>
        <w:spacing w:before="0" w:after="120" w:line="360" w:lineRule="auto"/>
        <w:ind w:firstLine="562"/>
        <w:jc w:val="both"/>
      </w:pPr>
      <w:r>
        <w:rPr>
          <w:rFonts w:ascii="Times New Roman" w:hAnsi="Times New Roman"/>
          <w:sz w:val="24"/>
        </w:rPr>
        <w:t>Untuk menyiram populasi sekitar 500–600 pohon jeruk limau yang membentang di atas lahan sepanjang ~100 m, pengelola kebun mempekerjakan 4 orang pekerja harian lepas dengan upah masing-masing Rp100.000 per kegiatan (total Rp400.000 per kegiatan). Kegiatan penyiraman dilakukan rutin rata-rata setiap 3 hari sekali (terutama pada musim kemarau dan masa transisi buah). Skenario perhitungan tahunan menunjukkan estimasi pengeluaran tenaga kerja penyiraman mencapai Rp48,7 juta/tahun. Pengelola kebun secara eksplisit menyatakan kebutuhan utama untuk menekan atau mengeliminasi pengeluaran upah manual ini melalui penerapan mekanisasi atau otomasi.</w:t>
      </w:r>
    </w:p>
    <w:p>
      <w:pPr>
        <w:keepNext/>
        <w:spacing w:before="160" w:after="40" w:line="360" w:lineRule="auto"/>
        <w:ind w:firstLine="0"/>
        <w:jc w:val="both"/>
      </w:pPr>
      <w:r>
        <w:rPr>
          <w:rFonts w:ascii="Times New Roman" w:hAnsi="Times New Roman"/>
          <w:b/>
          <w:sz w:val="24"/>
        </w:rPr>
        <w:t>2. Ketidakpastian dan Ketidakmerataan Dosis Air</w:t>
      </w:r>
    </w:p>
    <w:p>
      <w:pPr>
        <w:spacing w:before="0" w:after="120" w:line="360" w:lineRule="auto"/>
        <w:ind w:firstLine="562"/>
        <w:jc w:val="both"/>
      </w:pPr>
      <w:r>
        <w:rPr>
          <w:rFonts w:ascii="Times New Roman" w:hAnsi="Times New Roman"/>
          <w:sz w:val="24"/>
        </w:rPr>
        <w:t>Praktik penyiraman eksisting mengandalkan pekerja yang menimba air parit menggunakan ember hitam kecil lalu mengguyurkannya ke tiap pohon. Pekerja tidak mengukur volume air per pohon, sehingga pohon di area dekat titik pompa berisiko menerima air berlebih, sementara pohon di ujung parit berisiko kekurangan air atau bahkan terlewat akibat kelelahan fisik pekerja.</w:t>
      </w:r>
    </w:p>
    <w:p>
      <w:pPr>
        <w:keepNext/>
        <w:spacing w:before="160" w:after="40" w:line="360" w:lineRule="auto"/>
        <w:ind w:firstLine="0"/>
        <w:jc w:val="both"/>
      </w:pPr>
      <w:r>
        <w:rPr>
          <w:rFonts w:ascii="Times New Roman" w:hAnsi="Times New Roman"/>
          <w:b/>
          <w:sz w:val="24"/>
        </w:rPr>
        <w:t>3. Ketergantungan Pompa Berbahan Bakar Bensin (Pertalite)</w:t>
      </w:r>
    </w:p>
    <w:p>
      <w:pPr>
        <w:spacing w:before="0" w:after="120" w:line="360" w:lineRule="auto"/>
        <w:ind w:firstLine="562"/>
        <w:jc w:val="both"/>
      </w:pPr>
      <w:r>
        <w:rPr>
          <w:rFonts w:ascii="Times New Roman" w:hAnsi="Times New Roman"/>
          <w:sz w:val="24"/>
        </w:rPr>
        <w:t>Pasokan air disedot dari sungai berjarak 20,54 m menuju tiga lajur parit tanah menggunakan pompa mesin berbahan bakar Pertalite. Mitra mengeluhkan biaya operasional bahan bakar, kerepotan pemeliharaan mekanik berkala, serta uji coba bahan bakar gas LPG masa lalu yang dihentikan karena mesin mengalami panas berlebih (overheat).</w:t>
      </w:r>
    </w:p>
    <w:p>
      <w:pPr>
        <w:keepNext/>
        <w:spacing w:before="160" w:after="40" w:line="360" w:lineRule="auto"/>
        <w:ind w:firstLine="0"/>
        <w:jc w:val="both"/>
      </w:pPr>
      <w:r>
        <w:rPr>
          <w:rFonts w:ascii="Times New Roman" w:hAnsi="Times New Roman"/>
          <w:b/>
          <w:sz w:val="24"/>
        </w:rPr>
        <w:t>4. Ekspektasi Solusi Baru dari Mitra</w:t>
      </w:r>
    </w:p>
    <w:p>
      <w:pPr>
        <w:spacing w:before="0" w:after="120" w:line="360" w:lineRule="auto"/>
        <w:ind w:firstLine="562"/>
        <w:jc w:val="both"/>
      </w:pPr>
      <w:r>
        <w:rPr>
          <w:rFonts w:ascii="Times New Roman" w:hAnsi="Times New Roman"/>
          <w:sz w:val="24"/>
        </w:rPr>
        <w:t>Mitra mengharapkan sistem baru mampu mengalirkan air dalam jumlah yang cukup (mengacu pada estimasi praktis petani minimal 10–15 Liter per pohon per siklus), dapat beroperasi secara terjadwal/teratur, mudah dioperasikan oleh pekerja lokal tanpa kerumitan teknis, serta memiliki biaya investasi awal dan pemeliharaan yang terjangkau agar modal dapat tertutup dari penghematan upah tenaga kerja dalam kurun waktu 1–2 tahun.</w:t>
      </w:r>
    </w:p>
    <w:p>
      <w:pPr>
        <w:keepNext/>
        <w:spacing w:before="240" w:after="80" w:line="360" w:lineRule="auto"/>
        <w:jc w:val="left"/>
      </w:pPr>
      <w:r>
        <w:rPr>
          <w:rFonts w:ascii="Times New Roman" w:hAnsi="Times New Roman"/>
          <w:b/>
          <w:sz w:val="24"/>
        </w:rPr>
        <w:t>1.1.2 Regulasi Pemerintah dan Standar Teknis Industri</w:t>
      </w:r>
    </w:p>
    <w:p>
      <w:pPr>
        <w:spacing w:before="0" w:after="120" w:line="360" w:lineRule="auto"/>
        <w:ind w:firstLine="562"/>
        <w:jc w:val="both"/>
      </w:pPr>
      <w:r>
        <w:rPr>
          <w:rFonts w:ascii="Times New Roman" w:hAnsi="Times New Roman"/>
          <w:sz w:val="24"/>
        </w:rPr>
        <w:t>Perancangan sistem rekayasa wajib mematuhi kerangka hukum, regulasi tata air nasional, dan standar konsensus industri internasional:</w:t>
      </w:r>
    </w:p>
    <w:p>
      <w:pPr>
        <w:keepNext/>
        <w:spacing w:before="160" w:after="40" w:line="360" w:lineRule="auto"/>
        <w:ind w:firstLine="0"/>
        <w:jc w:val="both"/>
      </w:pPr>
      <w:r>
        <w:rPr>
          <w:rFonts w:ascii="Times New Roman" w:hAnsi="Times New Roman"/>
          <w:b/>
          <w:sz w:val="24"/>
        </w:rPr>
        <w:t>1. Standar Keseragaman Irigasi Mikro (ASABE S398.1 &amp; ASABE EP405.1)</w:t>
      </w:r>
    </w:p>
    <w:p>
      <w:pPr>
        <w:spacing w:before="0" w:after="120" w:line="360" w:lineRule="auto"/>
        <w:ind w:firstLine="562"/>
        <w:jc w:val="both"/>
      </w:pPr>
      <w:r>
        <w:rPr>
          <w:rFonts w:ascii="Times New Roman" w:hAnsi="Times New Roman"/>
          <w:sz w:val="24"/>
        </w:rPr>
        <w:t>American Society of Agricultural and Biological Engineers (ASABE) menetapkan standar evaluasi keseragaman distribusi air irigasi mikro (Christiansen's Uniformity Coefficient, CU). Untuk irigasi presisi pada tanaman hortikultura tahunan bernilai ekonomi tinggi, nilai CU minimum yang disyaratkan adalah &gt;= 80%, dengan target ideal pada perancangan rekayasa baru mencapai &gt;= 85%. Nilai keseragaman ini menjamin setiap pohon menerima pasokan air seragam terlepas dari jarak pohon terhadap sumber suplai [2], [3].</w:t>
      </w:r>
    </w:p>
    <w:p>
      <w:pPr>
        <w:keepNext/>
        <w:spacing w:before="160" w:after="40" w:line="360" w:lineRule="auto"/>
        <w:ind w:firstLine="0"/>
        <w:jc w:val="both"/>
      </w:pPr>
      <w:r>
        <w:rPr>
          <w:rFonts w:ascii="Times New Roman" w:hAnsi="Times New Roman"/>
          <w:b/>
          <w:sz w:val="24"/>
        </w:rPr>
        <w:t>2. Pedoman Tata Air Pertanian Nasional (Permen Pertanian No. 49/2014 &amp; SNI 7608:2010)</w:t>
      </w:r>
    </w:p>
    <w:p>
      <w:pPr>
        <w:spacing w:before="0" w:after="120" w:line="360" w:lineRule="auto"/>
        <w:ind w:firstLine="562"/>
        <w:jc w:val="both"/>
      </w:pPr>
      <w:r>
        <w:rPr>
          <w:rFonts w:ascii="Times New Roman" w:hAnsi="Times New Roman"/>
          <w:sz w:val="24"/>
        </w:rPr>
        <w:t>Peraturan Menteri Pertanian Republik Indonesia No. 49/Permentan/OT.140/4/2014 mengenai Pedoman Teknis Pengembangan Tata Air Pertanian serta SNI 7608:2010 tentang Jaringan Irigasi Air Tanah Dangkal menegaskan prinsip konservasi air: sistem irigasi pertanian modern wajib memaksimalkan efisiensi aplikasi air tanaman (eta_a &gt;= 75%), meminimalkan kehilangan air akibat perkolasi dalam dan evaporasi terbuka, serta melarang pemborosan aliran run-off yang memicu erosi hara permukaan [6], [7].</w:t>
      </w:r>
    </w:p>
    <w:p>
      <w:pPr>
        <w:keepNext/>
        <w:spacing w:before="160" w:after="40" w:line="360" w:lineRule="auto"/>
        <w:ind w:firstLine="0"/>
        <w:jc w:val="both"/>
      </w:pPr>
      <w:r>
        <w:rPr>
          <w:rFonts w:ascii="Times New Roman" w:hAnsi="Times New Roman"/>
          <w:b/>
          <w:sz w:val="24"/>
        </w:rPr>
        <w:t>3. Standar Proteksi Selungkup Lingkungan Terbuka (IEC 60529 / SNI IEC 60529:2014)</w:t>
      </w:r>
    </w:p>
    <w:p>
      <w:pPr>
        <w:spacing w:before="0" w:after="120" w:line="360" w:lineRule="auto"/>
        <w:ind w:firstLine="562"/>
        <w:jc w:val="both"/>
      </w:pPr>
      <w:r>
        <w:rPr>
          <w:rFonts w:ascii="Times New Roman" w:hAnsi="Times New Roman"/>
          <w:sz w:val="24"/>
        </w:rPr>
        <w:t>Peralatan instrumentasi, kontroler elektronik, akuisisi data, dan sistem daya yang beroperasi di lingkungan pertanian terbuka tanpa naungan permanen wajib memiliki tingkat proteksi selungkup (Ingress Protection) minimal IP65. Standar ini menjamin selungkup kedap terhadap partikel debu tanah secara total (dust-tight) dan terlindung dari semprotan air bertekanan rendah dari segala arah tanpa terjadi kebocoran yang merusak rangkaian sirkuit [4], [5].</w:t>
      </w:r>
    </w:p>
    <w:p>
      <w:pPr>
        <w:keepNext/>
        <w:spacing w:before="160" w:after="40" w:line="360" w:lineRule="auto"/>
        <w:ind w:firstLine="0"/>
        <w:jc w:val="both"/>
      </w:pPr>
      <w:r>
        <w:rPr>
          <w:rFonts w:ascii="Times New Roman" w:hAnsi="Times New Roman"/>
          <w:b/>
          <w:sz w:val="24"/>
        </w:rPr>
        <w:t>4. Standar Keamanan Kelistrikan dan Jaringan Sensor (IEEE 1451 &amp; IEC 60364-4-41)</w:t>
      </w:r>
    </w:p>
    <w:p>
      <w:pPr>
        <w:spacing w:before="0" w:after="120" w:line="360" w:lineRule="auto"/>
        <w:ind w:firstLine="562"/>
        <w:jc w:val="both"/>
      </w:pPr>
      <w:r>
        <w:rPr>
          <w:rFonts w:ascii="Times New Roman" w:hAnsi="Times New Roman"/>
          <w:sz w:val="24"/>
        </w:rPr>
        <w:t>Seluruh perangkat kelistrikan yang dipasang di area basah pertanian terbuka wajib beroperasi pada batas tegangan ekstra rendah aman (Safety Extra-Low Voltage / SELV &lt;= 48 V DC) untuk mencegah bahaya sengatan listrik bagi manusia dan hewan ternak [9]. Standar komunikasi instrumentasi IEEE 1451 dan IEEE 802.15.4 digunakan sebagai acuan arsitektur transmisi data sensor nirkabel berdaya rendah (low-power wireless sensor network) [10].</w:t>
      </w:r>
    </w:p>
    <w:p>
      <w:pPr>
        <w:keepNext/>
        <w:spacing w:before="160" w:after="40" w:line="360" w:lineRule="auto"/>
        <w:ind w:firstLine="0"/>
        <w:jc w:val="both"/>
      </w:pPr>
      <w:r>
        <w:rPr>
          <w:rFonts w:ascii="Times New Roman" w:hAnsi="Times New Roman"/>
          <w:b/>
          <w:sz w:val="24"/>
        </w:rPr>
        <w:t>5. Standar Sistem Pembangkit Listrik Tenaga Surya Mandiri (IEC 62124)</w:t>
      </w:r>
    </w:p>
    <w:p>
      <w:pPr>
        <w:spacing w:before="0" w:after="120" w:line="360" w:lineRule="auto"/>
        <w:ind w:firstLine="562"/>
        <w:jc w:val="both"/>
      </w:pPr>
      <w:r>
        <w:rPr>
          <w:rFonts w:ascii="Times New Roman" w:hAnsi="Times New Roman"/>
          <w:sz w:val="24"/>
        </w:rPr>
        <w:t>Standar Photovoltaic Stand-Alone Systems: Design Verification (IEC 62124) menetapkan bahwa sistem fotovoltaik off-grid pertanian harus dirancang dengan kapasitas cadangan energi (days of autonomy) minimal 1,5 hingga 2 hari operasi tanpa radiasi matahari langsung guna mengantisipasi cuaca mendung berkepanjangan pada musim transisi [8].</w:t>
      </w:r>
    </w:p>
    <w:p>
      <w:pPr>
        <w:keepNext/>
        <w:spacing w:before="240" w:after="80" w:line="360" w:lineRule="auto"/>
        <w:jc w:val="left"/>
      </w:pPr>
      <w:r>
        <w:rPr>
          <w:rFonts w:ascii="Times New Roman" w:hAnsi="Times New Roman"/>
          <w:b/>
          <w:sz w:val="24"/>
        </w:rPr>
        <w:t>1.1.3 Karakteristik Fisiologi Tanaman Jeruk Limau dan Literatur Agronomi</w:t>
      </w:r>
    </w:p>
    <w:p>
      <w:pPr>
        <w:spacing w:before="0" w:after="120" w:line="360" w:lineRule="auto"/>
        <w:ind w:firstLine="562"/>
        <w:jc w:val="both"/>
      </w:pPr>
      <w:r>
        <w:rPr>
          <w:rFonts w:ascii="Times New Roman" w:hAnsi="Times New Roman"/>
          <w:sz w:val="24"/>
        </w:rPr>
        <w:t>Karakteristik biologis tanaman jeruk limau (Citrus amblycarpa Hassk. Ochse) menjadi fondasi penentuan dosis volume, frekuensi, dan zona pembasahan:</w:t>
      </w:r>
    </w:p>
    <w:p>
      <w:pPr>
        <w:keepNext/>
        <w:spacing w:before="160" w:after="40" w:line="360" w:lineRule="auto"/>
        <w:ind w:firstLine="0"/>
        <w:jc w:val="both"/>
      </w:pPr>
      <w:r>
        <w:rPr>
          <w:rFonts w:ascii="Times New Roman" w:hAnsi="Times New Roman"/>
          <w:b/>
          <w:sz w:val="24"/>
        </w:rPr>
        <w:t>1. Morfologi Perakaran Dangkal Jeruk Limau</w:t>
      </w:r>
    </w:p>
    <w:p>
      <w:pPr>
        <w:spacing w:before="0" w:after="120" w:line="360" w:lineRule="auto"/>
        <w:ind w:firstLine="562"/>
        <w:jc w:val="both"/>
      </w:pPr>
      <w:r>
        <w:rPr>
          <w:rFonts w:ascii="Times New Roman" w:hAnsi="Times New Roman"/>
          <w:sz w:val="24"/>
        </w:rPr>
        <w:t>Penelitian Budiarto dkk. (2017) dan pedoman Florida Citrus Extension (Obreza dkk., 2020) menunjukkan bahwa perakaran tanaman jeruk didominasi oleh akar serabut aktif (feeder roots) pada lapisan tanah dangkal dengan kedalaman 20–40 cm dan radius persebaran horizontal 0,5–0,8 m mengikuti proyeksi tajuk tanaman. Pemberian air di luar radius tersebut tidak efektif diserap oleh tanaman dan hanya akan memicu pertumbuhan gulma liar [15], [19].</w:t>
      </w:r>
    </w:p>
    <w:p>
      <w:pPr>
        <w:keepNext/>
        <w:spacing w:before="160" w:after="40" w:line="360" w:lineRule="auto"/>
        <w:ind w:firstLine="0"/>
        <w:jc w:val="both"/>
      </w:pPr>
      <w:r>
        <w:rPr>
          <w:rFonts w:ascii="Times New Roman" w:hAnsi="Times New Roman"/>
          <w:b/>
          <w:sz w:val="24"/>
        </w:rPr>
        <w:t>2. Kebutuhan Air Berbasis Model Evapotranspirasi FAO-56</w:t>
      </w:r>
    </w:p>
    <w:p>
      <w:pPr>
        <w:spacing w:before="0" w:after="120" w:line="360" w:lineRule="auto"/>
        <w:ind w:firstLine="562"/>
        <w:jc w:val="both"/>
      </w:pPr>
      <w:r>
        <w:rPr>
          <w:rFonts w:ascii="Times New Roman" w:hAnsi="Times New Roman"/>
          <w:sz w:val="24"/>
        </w:rPr>
        <w:t>Mengacu pada model evapotranspirasi standar FAO-56 (ETc = Kc x ET0) oleh Allen dkk. (1998) serta panduan manajemen air jeruk (Kadyampakeni dkk., 2026), kebutuhan air tanaman jeruk limau muda setinggi +- 1 meter dengan kanopi sedang berkisar antara 3,5–5,0 mm/hari. Untuk luasan tajuk basah ~1 m2, kebutuhan evapotranspirasi aktual berkisar 3,5–5,0 Liter/hari/pohon. Dengan interval penyiraman berkala setiap 2–3 hari sekali, akumulasi kebutuhan air per siklus berada pada rentang 10–15 Liter per pohon. Angka ini sejalan dengan batas acuan minimum yang dituturkan oleh mitra kebun Ciberes [1], [16].</w:t>
      </w:r>
    </w:p>
    <w:p>
      <w:pPr>
        <w:keepNext/>
        <w:spacing w:before="160" w:after="40" w:line="360" w:lineRule="auto"/>
        <w:ind w:firstLine="0"/>
        <w:jc w:val="both"/>
      </w:pPr>
      <w:r>
        <w:rPr>
          <w:rFonts w:ascii="Times New Roman" w:hAnsi="Times New Roman"/>
          <w:b/>
          <w:sz w:val="24"/>
        </w:rPr>
        <w:t>3. Pencegahan Risiko Pembusukan Akar (Phytophthora nicotianae)</w:t>
      </w:r>
    </w:p>
    <w:p>
      <w:pPr>
        <w:spacing w:before="0" w:after="120" w:line="360" w:lineRule="auto"/>
        <w:ind w:firstLine="562"/>
        <w:jc w:val="both"/>
      </w:pPr>
      <w:r>
        <w:rPr>
          <w:rFonts w:ascii="Times New Roman" w:hAnsi="Times New Roman"/>
          <w:sz w:val="24"/>
        </w:rPr>
        <w:t>Literatur patologi jeruk oleh Graham &amp; Timmer (2020) serta pedoman Smajstrla dkk. (2021) memperingatkan bahwa kejenuhan air tanah yang berlangsung lama (waterlogging &gt; 24–48 jam) akibat penggenangan parit atau drainase yang buruk merupakan pemicu utama serangan patogen jamur tanah Phytophthora nicotianae dan Phytophthora palmivora yang menyebabkan busuk perakaran dan kanker pangkal batang (foot rot). Oleh karena itu, spesifikasi pemberian air harus menjamin aerasi tanah tetap terjaga dan tidak menimbulkan kubangan air tergenang lebih dari 30 menit setelah proses penyiraman selesai [17], [18].</w:t>
      </w:r>
    </w:p>
    <w:p>
      <w:pPr>
        <w:keepNext/>
        <w:spacing w:before="240" w:after="80" w:line="360" w:lineRule="auto"/>
        <w:jc w:val="left"/>
      </w:pPr>
      <w:r>
        <w:rPr>
          <w:rFonts w:ascii="Times New Roman" w:hAnsi="Times New Roman"/>
          <w:b/>
          <w:sz w:val="24"/>
        </w:rPr>
        <w:t>1.1.4 Karakteristik Tapak Lahan Eksisting dan Keterbatasan Sumber Daya</w:t>
      </w:r>
    </w:p>
    <w:p>
      <w:pPr>
        <w:spacing w:before="0" w:after="120" w:line="360" w:lineRule="auto"/>
        <w:ind w:firstLine="562"/>
        <w:jc w:val="both"/>
      </w:pPr>
      <w:r>
        <w:rPr>
          <w:rFonts w:ascii="Times New Roman" w:hAnsi="Times New Roman"/>
          <w:sz w:val="24"/>
        </w:rPr>
        <w:t>Spesifikasi sistem rekayasa harus selaras dengan kendala fisik tapak kebun di Ciberes:</w:t>
      </w:r>
    </w:p>
    <w:p>
      <w:pPr>
        <w:keepNext/>
        <w:spacing w:before="160" w:after="40" w:line="360" w:lineRule="auto"/>
        <w:ind w:firstLine="0"/>
        <w:jc w:val="both"/>
      </w:pPr>
      <w:r>
        <w:rPr>
          <w:rFonts w:ascii="Times New Roman" w:hAnsi="Times New Roman"/>
          <w:b/>
          <w:sz w:val="24"/>
        </w:rPr>
        <w:t>1. Ketiadaan Akses Jaringan Listrik PLN</w:t>
      </w:r>
    </w:p>
    <w:p>
      <w:pPr>
        <w:spacing w:before="0" w:after="120" w:line="360" w:lineRule="auto"/>
        <w:ind w:firstLine="562"/>
        <w:jc w:val="both"/>
      </w:pPr>
      <w:r>
        <w:rPr>
          <w:rFonts w:ascii="Times New Roman" w:hAnsi="Times New Roman"/>
          <w:sz w:val="24"/>
        </w:rPr>
        <w:t>Tapak kebun terletak jauh dari jaringan distribusi tegangan rendah PLN. Segala bentuk rancangan sistem tidak boleh bergantung pada sumber listrik jala-jala PLN, melainkan wajib mandiri (self-sufficient / off-grid) memanfaatkan energi terbarukan (seperti pembangkit listrik tenaga surya / fotovoltaik) yang dipadukan dengan modul penyimpan daya (baterai) atau sumber mekanik efisien [8], [20].</w:t>
      </w:r>
    </w:p>
    <w:p>
      <w:pPr>
        <w:keepNext/>
        <w:spacing w:before="160" w:after="40" w:line="360" w:lineRule="auto"/>
        <w:ind w:firstLine="0"/>
        <w:jc w:val="both"/>
      </w:pPr>
      <w:r>
        <w:rPr>
          <w:rFonts w:ascii="Times New Roman" w:hAnsi="Times New Roman"/>
          <w:b/>
          <w:sz w:val="24"/>
        </w:rPr>
        <w:t>2. Karakteristik Air Sungai dan Kebutuhan Filtrasi Partikulat</w:t>
      </w:r>
    </w:p>
    <w:p>
      <w:pPr>
        <w:spacing w:before="0" w:after="120" w:line="360" w:lineRule="auto"/>
        <w:ind w:firstLine="562"/>
        <w:jc w:val="both"/>
      </w:pPr>
      <w:r>
        <w:rPr>
          <w:rFonts w:ascii="Times New Roman" w:hAnsi="Times New Roman"/>
          <w:sz w:val="24"/>
        </w:rPr>
        <w:t>Sumber air utama kebun berasal dari aliran sungai/saluran irigasi yang berjarak 20,54 m dari tepi lahan kebun. Air permukaan alami memiliki tingkat kekeruhan dinamis dan membawa muatan padatan tersuspensi (suspended solids) berupa partikel pasir halus, lumpur sedimen, dan serpihan organik. Kondisi ini mewajibkan adanya subsistem penyaringan fisik (filtration) dengan kapasitas penyaringan minimal 120 mesh (130 um) agar pipa, pompa mikro, katup solenoid, maupun nozzle tidak mengalami penyumbatan fisik (clogging) [12], [13], [14].</w:t>
      </w:r>
    </w:p>
    <w:p>
      <w:pPr>
        <w:keepNext/>
        <w:spacing w:before="160" w:after="40" w:line="360" w:lineRule="auto"/>
        <w:ind w:firstLine="0"/>
        <w:jc w:val="both"/>
      </w:pPr>
      <w:r>
        <w:rPr>
          <w:rFonts w:ascii="Times New Roman" w:hAnsi="Times New Roman"/>
          <w:b/>
          <w:sz w:val="24"/>
        </w:rPr>
        <w:t>3. Geometri Jaringan Tiga Lajur Parit Kebun</w:t>
      </w:r>
    </w:p>
    <w:p>
      <w:pPr>
        <w:spacing w:before="0" w:after="120" w:line="360" w:lineRule="auto"/>
        <w:ind w:firstLine="562"/>
        <w:jc w:val="both"/>
      </w:pPr>
      <w:r>
        <w:rPr>
          <w:rFonts w:ascii="Times New Roman" w:hAnsi="Times New Roman"/>
          <w:sz w:val="24"/>
        </w:rPr>
        <w:t>Populasi 500–600 pohon tertata dalam barisan teratur di antara tiga lajur galian parit tanah sepanjang 100 m dengan lebar blok 20,54 m. Jarak antar pohon berkisar antara 2–3 meter. Spesifikasi sistem harus mampu mendistribusikan air menjangkau seluruh panjang lintasan 100 m tersebut secara merata tanpa kehilangan tekanan hidrolik yang berlebihan.</w:t>
      </w:r>
    </w:p>
    <w:p>
      <w:pPr>
        <w:keepNext/>
        <w:spacing w:before="280" w:after="120" w:line="360" w:lineRule="auto"/>
        <w:jc w:val="left"/>
      </w:pPr>
      <w:r>
        <w:rPr>
          <w:rFonts w:ascii="Times New Roman" w:hAnsi="Times New Roman"/>
          <w:b/>
          <w:sz w:val="24"/>
        </w:rPr>
        <w:t>1.2 Batasan dan Spesifikasi Solusi</w:t>
      </w:r>
    </w:p>
    <w:p>
      <w:pPr>
        <w:spacing w:before="0" w:after="120" w:line="360" w:lineRule="auto"/>
        <w:ind w:firstLine="562"/>
        <w:jc w:val="both"/>
      </w:pPr>
      <w:r>
        <w:rPr>
          <w:rFonts w:ascii="Times New Roman" w:hAnsi="Times New Roman"/>
          <w:sz w:val="24"/>
        </w:rPr>
        <w:t>Berdasarkan sintesis dari seluruh dasar pertimbangan di atas, bagian ini menetapkan batasan rekayasa (engineering constraints) dan daftar spesifikasi kuantitatif (engineering specifications). Sesuai dengan kaidah Buku Panduan Capstone FTE Telkom University, spesifikasi dirumuskan secara abstrak terhadap pilihan solusi atau merek tertentu (solution-agnostic), sehingga tidak mengikat perancangan pada satu opsi teknologi saja sebelum dilakukan komparasi alternatif pada dokumen CD-3.</w:t>
      </w:r>
    </w:p>
    <w:p>
      <w:pPr>
        <w:keepNext/>
        <w:spacing w:before="200" w:after="80" w:line="360" w:lineRule="auto"/>
        <w:jc w:val="left"/>
      </w:pPr>
      <w:r>
        <w:rPr>
          <w:rFonts w:ascii="Times New Roman" w:hAnsi="Times New Roman"/>
          <w:b/>
          <w:sz w:val="24"/>
        </w:rPr>
        <w:t>1.2.1 Batasan Rekayasa Solusi (Engineering Constraints)</w:t>
      </w:r>
    </w:p>
    <w:p>
      <w:pPr>
        <w:spacing w:before="0" w:after="120" w:line="360" w:lineRule="auto"/>
        <w:ind w:firstLine="562"/>
        <w:jc w:val="both"/>
      </w:pPr>
      <w:r>
        <w:rPr>
          <w:rFonts w:ascii="Times New Roman" w:hAnsi="Times New Roman"/>
          <w:sz w:val="24"/>
        </w:rPr>
        <w:t>Batasan rekayasa merupakan kondisi batas mutlak (hard constraints) yang tidak dapat dilanggar oleh arsitektur solusi mana pun yang akan dirancang:</w:t>
      </w:r>
    </w:p>
    <w:p>
      <w:pPr>
        <w:keepNext/>
        <w:spacing w:before="160" w:after="40" w:line="360" w:lineRule="auto"/>
        <w:ind w:firstLine="0"/>
        <w:jc w:val="both"/>
      </w:pPr>
      <w:r>
        <w:rPr>
          <w:rFonts w:ascii="Times New Roman" w:hAnsi="Times New Roman"/>
          <w:b/>
          <w:sz w:val="24"/>
        </w:rPr>
        <w:t>C-01. Kemandirian Energi (Off-Grid Standalone)</w:t>
      </w:r>
    </w:p>
    <w:p>
      <w:pPr>
        <w:spacing w:before="0" w:after="120" w:line="360" w:lineRule="auto"/>
        <w:ind w:firstLine="562"/>
        <w:jc w:val="both"/>
      </w:pPr>
      <w:r>
        <w:rPr>
          <w:rFonts w:ascii="Times New Roman" w:hAnsi="Times New Roman"/>
          <w:sz w:val="24"/>
        </w:rPr>
        <w:t>Sistem harus beroperasi secara mandiri tanpa memerlukan sambungan jala-jala listrik PLN kebun, menggunakan pasokan daya lokal berbasis energi terbarukan atau baterai penyimpan energi.</w:t>
      </w:r>
    </w:p>
    <w:p>
      <w:pPr>
        <w:keepNext/>
        <w:spacing w:before="160" w:after="40" w:line="360" w:lineRule="auto"/>
        <w:ind w:firstLine="0"/>
        <w:jc w:val="both"/>
      </w:pPr>
      <w:r>
        <w:rPr>
          <w:rFonts w:ascii="Times New Roman" w:hAnsi="Times New Roman"/>
          <w:b/>
          <w:sz w:val="24"/>
        </w:rPr>
        <w:t>C-02. Kompatibilitas Sumber Air Permukaan Berpartikulat</w:t>
      </w:r>
    </w:p>
    <w:p>
      <w:pPr>
        <w:spacing w:before="0" w:after="120" w:line="360" w:lineRule="auto"/>
        <w:ind w:firstLine="562"/>
        <w:jc w:val="both"/>
      </w:pPr>
      <w:r>
        <w:rPr>
          <w:rFonts w:ascii="Times New Roman" w:hAnsi="Times New Roman"/>
          <w:sz w:val="24"/>
        </w:rPr>
        <w:t>Sistem harus mampu memproses air baku dari sungai/saluran irigasi terbuka berkekeruhan alami tanpa mengalami kerusakan pompa dan tanpa mengalami kegagalan fungsi akibat sedimentasi lumpur.</w:t>
      </w:r>
    </w:p>
    <w:p>
      <w:pPr>
        <w:keepNext/>
        <w:spacing w:before="160" w:after="40" w:line="360" w:lineRule="auto"/>
        <w:ind w:firstLine="0"/>
        <w:jc w:val="both"/>
      </w:pPr>
      <w:r>
        <w:rPr>
          <w:rFonts w:ascii="Times New Roman" w:hAnsi="Times New Roman"/>
          <w:b/>
          <w:sz w:val="24"/>
        </w:rPr>
        <w:t>C-03. Kompatibilitas Geometri dan Topografi Kebun</w:t>
      </w:r>
    </w:p>
    <w:p>
      <w:pPr>
        <w:spacing w:before="0" w:after="120" w:line="360" w:lineRule="auto"/>
        <w:ind w:firstLine="562"/>
        <w:jc w:val="both"/>
      </w:pPr>
      <w:r>
        <w:rPr>
          <w:rFonts w:ascii="Times New Roman" w:hAnsi="Times New Roman"/>
          <w:sz w:val="24"/>
        </w:rPr>
        <w:t>Sistem harus mampu melayani area kebun seluas 500–600 pohon dengan rentang lintasan memanjang hingga 100 m dan lebar 20,5 m tanpa merusak struktur batang dan perakaran dangkal tanaman.</w:t>
      </w:r>
    </w:p>
    <w:p>
      <w:pPr>
        <w:keepNext/>
        <w:spacing w:before="160" w:after="40" w:line="360" w:lineRule="auto"/>
        <w:ind w:firstLine="0"/>
        <w:jc w:val="both"/>
      </w:pPr>
      <w:r>
        <w:rPr>
          <w:rFonts w:ascii="Times New Roman" w:hAnsi="Times New Roman"/>
          <w:b/>
          <w:sz w:val="24"/>
        </w:rPr>
        <w:t>C-04. Keselamatan Kelistrikan Area Terbuka Basah (SELV)</w:t>
      </w:r>
    </w:p>
    <w:p>
      <w:pPr>
        <w:spacing w:before="0" w:after="120" w:line="360" w:lineRule="auto"/>
        <w:ind w:firstLine="562"/>
        <w:jc w:val="both"/>
      </w:pPr>
      <w:r>
        <w:rPr>
          <w:rFonts w:ascii="Times New Roman" w:hAnsi="Times New Roman"/>
          <w:sz w:val="24"/>
        </w:rPr>
        <w:t>Seluruh subsistem elektrikal dan instrumentasi yang terpasang di area basah kebun wajib beroperasi pada rentang tegangan ekstra rendah aman (Safety Extra-Low Voltage &lt;= 48 V DC) sesuai IEC 60364-4-41.</w:t>
      </w:r>
    </w:p>
    <w:p>
      <w:pPr>
        <w:keepNext/>
        <w:spacing w:before="160" w:after="40" w:line="360" w:lineRule="auto"/>
        <w:ind w:firstLine="0"/>
        <w:jc w:val="both"/>
      </w:pPr>
      <w:r>
        <w:rPr>
          <w:rFonts w:ascii="Times New Roman" w:hAnsi="Times New Roman"/>
          <w:b/>
          <w:sz w:val="24"/>
        </w:rPr>
        <w:t>C-05. Netralitas Solusi (Solution-Agnostic)</w:t>
      </w:r>
    </w:p>
    <w:p>
      <w:pPr>
        <w:spacing w:before="0" w:after="120" w:line="360" w:lineRule="auto"/>
        <w:ind w:firstLine="562"/>
        <w:jc w:val="both"/>
      </w:pPr>
      <w:r>
        <w:rPr>
          <w:rFonts w:ascii="Times New Roman" w:hAnsi="Times New Roman"/>
          <w:sz w:val="24"/>
        </w:rPr>
        <w:t>Perumusan batasan dan spesifikasi tidak mengunci pilihan arsitektur pada satu merek komponen tertentu atau satu jenis solusi mekanis tertentu (memberikan fleksibilitas penuh untuk mengevaluasi opsi jaringan perpipaan mikro, sistem mekanisasi gerak semi-otonom, maupun solusi hibrida pada CD-3).</w:t>
      </w:r>
    </w:p>
    <w:p>
      <w:pPr>
        <w:keepNext/>
        <w:spacing w:before="240" w:after="80" w:line="360" w:lineRule="auto"/>
        <w:jc w:val="left"/>
      </w:pPr>
      <w:r>
        <w:rPr>
          <w:rFonts w:ascii="Times New Roman" w:hAnsi="Times New Roman"/>
          <w:b/>
          <w:sz w:val="24"/>
        </w:rPr>
        <w:t>1.2.2 Spesifikasi Kuantitatif Solusi (Engineering Specifications)</w:t>
      </w:r>
    </w:p>
    <w:p>
      <w:pPr>
        <w:spacing w:before="0" w:after="120" w:line="360" w:lineRule="auto"/>
        <w:ind w:firstLine="562"/>
        <w:jc w:val="both"/>
      </w:pPr>
      <w:r>
        <w:rPr>
          <w:rFonts w:ascii="Times New Roman" w:hAnsi="Times New Roman"/>
          <w:sz w:val="24"/>
        </w:rPr>
        <w:t>Spesifikasi rekayasa dijabarkan ke dalam empat aspek menyeluruh: teknis, ekonomi, lingkungan, dan operasional/kemitraan. Ringkasan seluruh spesifikasi kuantitatif disajikan pada Tabel 3, yang kemudian diikuti dengan deskripsi penjelasan mendalam pada masing-masing parameternya.</w:t>
      </w:r>
    </w:p>
    <w:p>
      <w:pPr>
        <w:keepNext/>
        <w:spacing w:before="200" w:after="80" w:line="276" w:lineRule="auto"/>
        <w:jc w:val="center"/>
      </w:pPr>
      <w:r>
        <w:rPr>
          <w:rFonts w:ascii="Times New Roman" w:hAnsi="Times New Roman"/>
          <w:b/>
          <w:sz w:val="22"/>
        </w:rPr>
        <w:t>Tabel 3. Matriks Batasan dan Spesifikasi Kuantitatif Solusi</w:t>
      </w:r>
    </w:p>
    <w:tbl>
      <w:tblPr>
        <w:tblW w:type="auto" w:w="0"/>
        <w:jc w:val="center"/>
        <w:tblLook w:firstColumn="1" w:firstRow="1" w:lastColumn="0" w:lastRow="0" w:noHBand="0" w:noVBand="1" w:val="04A0"/>
        <w:tblBorders>
          <w:top w:val="single" w:sz="4" w:space="0" w:color="808080"/>
          <w:bottom w:val="single" w:sz="4" w:space="0" w:color="808080"/>
          <w:insideH w:val="single" w:sz="4" w:space="0" w:color="808080"/>
          <w:insideV w:val="single" w:sz="4" w:space="0" w:color="808080"/>
          <w:left w:val="single" w:sz="4" w:space="0" w:color="808080"/>
          <w:right w:val="single" w:sz="4" w:space="0" w:color="808080"/>
        </w:tblBorders>
      </w:tblPr>
      <w:tblGrid>
        <w:gridCol w:w="1504"/>
        <w:gridCol w:w="1504"/>
        <w:gridCol w:w="1504"/>
        <w:gridCol w:w="1504"/>
        <w:gridCol w:w="1504"/>
        <w:gridCol w:w="1504"/>
      </w:tblGrid>
      <w:tr>
        <w:trPr>
          <w:cantSplit/>
          <w:tblHeader/>
        </w:trPr>
        <w:tc>
          <w:tcPr>
            <w:tcW w:type="dxa" w:w="864"/>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ID</w:t>
            </w:r>
          </w:p>
        </w:tc>
        <w:tc>
          <w:tcPr>
            <w:tcW w:type="dxa" w:w="259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Parameter Spesifikasi</w:t>
            </w:r>
          </w:p>
        </w:tc>
        <w:tc>
          <w:tcPr>
            <w:tcW w:type="dxa" w:w="187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Nilai Target &amp; Toleransi</w:t>
            </w:r>
          </w:p>
        </w:tc>
        <w:tc>
          <w:tcPr>
            <w:tcW w:type="dxa" w:w="115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Satuan</w:t>
            </w:r>
          </w:p>
        </w:tc>
        <w:tc>
          <w:tcPr>
            <w:tcW w:type="dxa" w:w="1440"/>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Kategori Aspek</w:t>
            </w:r>
          </w:p>
        </w:tc>
        <w:tc>
          <w:tcPr>
            <w:tcW w:type="dxa" w:w="2160"/>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Rujukan Penentuan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S-01</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Akurasi Dosis Volume Air per Pohon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10 - 15 +- 5%</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Liter/pohon</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Wawancara Mitra, FAO-56 [1], Florida [16]</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S-02</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Koefisien Keseragaman Distribusi (CU)</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85</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Standar ASABE S398.1, EP405.1 [2], [3]</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S-03</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Durasi Total Siklus Penyiraman Kebun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4,0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Jam/siklus</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Batas Waktu Operasi Harian Mitra</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S-04</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Radius dan Kedalaman Pembasahan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r = 0,5 - 0,8; d = 20 - 40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cm</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Morfologi Perakaran Jeruk Limau [15], [19]</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S-05</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Derajat Filtrasi Fisik Partikulat</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120 (saring &lt;= 130)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mesh (um)</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Standar Kualitas Air FAO-29 [12], Ayers [13]</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S-06</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Ketahanan Cadangan Energi (Autonomy)</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8,0 (min. 2 siklus penuh)</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Jam operasi</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Standar IEC 62124 (Off-Grid PV) [8]</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S-07</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Ketahanan Lingkungan Selungkup (IP)</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IP65 (Suhu: 20 - 55)</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Rating (deg C)</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Teknis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Standar IEC 60529 / SNI IEC 60529 [4], [5]</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S-08</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Batas Biaya Investasi Awal (CAPEX)</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18.000.000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Rupiah (Rp)</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Ekonomi</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Analisis Kelayakan Payback Period</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S-09</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Biaya Operasional Siklus (OPEX)</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50.000 (Hemat &gt;= 85%)</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Rupiah (Rp)</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Ekonomi</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Biaya Upah Manual Eksisting (Rp400.000)</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S-10</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Periode Pengembalian Modal (Payback)</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12 - 18</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Bulan</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Ekonomi</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Skenario Penghematan Rp48,7 Juta/Tahun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S-11</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Efisiensi Aplikasi Air Irigasi (eta_a)</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80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Lingkungan</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Permen Pertanian No. 49/2014, FAO [6], [11]</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S-12</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Emisi Gas Buang di Zona Tajuk</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0 (Bebas emisi hidrokarbon)</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g/kWh</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Lingkungan</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Perlindungan Kualitas Tanah Perakaran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S-13</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Kemudahan Pengoperasian Mitra</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Single-touch (Ajar &lt;= 30)</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Menit</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Operasional</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Profil Tenaga Kerja Lokal Kebun Ciberes</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S-14</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Durasi Pemeliharaan Rutin Saringan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20 (Perkakas lokal)</w:t>
            </w:r>
          </w:p>
        </w:tc>
        <w:tc>
          <w:tcPr>
            <w:tcW w:type="dxa" w:w="1152"/>
            <w:tcMar>
              <w:top w:w="60" w:type="dxa"/>
              <w:bottom w:w="60" w:type="dxa"/>
              <w:left w:w="80" w:type="dxa"/>
              <w:right w:w="80" w:type="dxa"/>
            </w:tcMar>
          </w:tcPr>
          <w:p>
            <w:pPr>
              <w:spacing w:line="252" w:lineRule="auto" w:before="40" w:after="40"/>
              <w:jc w:val="center"/>
            </w:pPr>
            <w:r>
              <w:rPr>
                <w:rFonts w:ascii="Times New Roman" w:hAnsi="Times New Roman"/>
                <w:sz w:val="18"/>
              </w:rPr>
              <w:t>Menit/bulan</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Aspek Operasional</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Keterbatasan Bengkel Khusus Pedesaan</w:t>
            </w:r>
          </w:p>
        </w:tc>
      </w:tr>
    </w:tbl>
    <w:p>
      <w:pPr>
        <w:keepNext/>
        <w:spacing w:before="160" w:after="40" w:line="360" w:lineRule="auto"/>
        <w:ind w:firstLine="0"/>
        <w:jc w:val="both"/>
      </w:pPr>
      <w:r>
        <w:rPr>
          <w:rFonts w:ascii="Times New Roman" w:hAnsi="Times New Roman"/>
          <w:b/>
          <w:sz w:val="24"/>
        </w:rPr>
        <w:t>S-01. Akurasi Dosis Volume Air per Pohon</w:t>
      </w:r>
    </w:p>
    <w:p>
      <w:pPr>
        <w:spacing w:before="0" w:after="120" w:line="360" w:lineRule="auto"/>
        <w:ind w:firstLine="562"/>
        <w:jc w:val="both"/>
      </w:pPr>
      <w:r>
        <w:rPr>
          <w:rFonts w:ascii="Times New Roman" w:hAnsi="Times New Roman"/>
          <w:sz w:val="24"/>
        </w:rPr>
        <w:t>Sistem harus mampu menyalurkan volume air terukur antara 10 hingga 15 Liter untuk tiap tanaman jeruk limau dengan batas simpangan kesalahan (error tolerance) tidak lebih dari +- 5%. Nilai kuantitatif ini menjamin tanaman terhidrasi sesuai laju evapotranspirasi lingkungan tanpa risiko pemberian air berlebih (over-irrigation) yang memboroskan sumber daya air.</w:t>
      </w:r>
    </w:p>
    <w:p>
      <w:pPr>
        <w:keepNext/>
        <w:spacing w:before="160" w:after="40" w:line="360" w:lineRule="auto"/>
        <w:ind w:firstLine="0"/>
        <w:jc w:val="both"/>
      </w:pPr>
      <w:r>
        <w:rPr>
          <w:rFonts w:ascii="Times New Roman" w:hAnsi="Times New Roman"/>
          <w:b/>
          <w:sz w:val="24"/>
        </w:rPr>
        <w:t>S-02. Koefisien Keseragaman Distribusi Air (CU)</w:t>
      </w:r>
    </w:p>
    <w:p>
      <w:pPr>
        <w:spacing w:before="0" w:after="120" w:line="360" w:lineRule="auto"/>
        <w:ind w:firstLine="562"/>
        <w:jc w:val="both"/>
      </w:pPr>
      <w:r>
        <w:rPr>
          <w:rFonts w:ascii="Times New Roman" w:hAnsi="Times New Roman"/>
          <w:sz w:val="24"/>
        </w:rPr>
        <w:t>Mengacu pada rumus Christiansen, keseragaman volume air yang diterima oleh pohon di awal, tengah, dan ujung barisan parit harus mencapai minimal 85%. Nilai keseragaman yang tinggi menghindarkan terjadinya kesenjangan pertumbuhan pohon dan menjaga produktivitas buah jeruk tetap homogen di seluruh blok lahan.</w:t>
      </w:r>
    </w:p>
    <w:p>
      <w:pPr>
        <w:keepNext/>
        <w:spacing w:before="160" w:after="40" w:line="360" w:lineRule="auto"/>
        <w:ind w:firstLine="0"/>
        <w:jc w:val="both"/>
      </w:pPr>
      <w:r>
        <w:rPr>
          <w:rFonts w:ascii="Times New Roman" w:hAnsi="Times New Roman"/>
          <w:b/>
          <w:sz w:val="24"/>
        </w:rPr>
        <w:t>S-03. Durasi Total Siklus Penyiraman Kebun</w:t>
      </w:r>
    </w:p>
    <w:p>
      <w:pPr>
        <w:spacing w:before="0" w:after="120" w:line="360" w:lineRule="auto"/>
        <w:ind w:firstLine="562"/>
        <w:jc w:val="both"/>
      </w:pPr>
      <w:r>
        <w:rPr>
          <w:rFonts w:ascii="Times New Roman" w:hAnsi="Times New Roman"/>
          <w:sz w:val="24"/>
        </w:rPr>
        <w:t>Seluruh proses penyiraman untuk 500–600 pohon harus dapat dituntaskan dalam waktu kurang dari atau sama dengan 4 jam per siklus kegiatan. Hal ini memberikan efisiensi waktu yang masif dibandingkan metode manual 4 orang buruh yang menyita waktu seharian penuh, serta memanfaatkan waktu siram ideal (pagi hari sebelum pukul 10.00 WIB atau sore hari setelah pukul 15.00 WIB) guna meminimalkan kehilangan air akibat evaporasi radiasi matahari langsung.</w:t>
      </w:r>
    </w:p>
    <w:p>
      <w:pPr>
        <w:keepNext/>
        <w:spacing w:before="160" w:after="40" w:line="360" w:lineRule="auto"/>
        <w:ind w:firstLine="0"/>
        <w:jc w:val="both"/>
      </w:pPr>
      <w:r>
        <w:rPr>
          <w:rFonts w:ascii="Times New Roman" w:hAnsi="Times New Roman"/>
          <w:b/>
          <w:sz w:val="24"/>
        </w:rPr>
        <w:t>S-04. Radius dan Kedalaman Pembasahan Efektif</w:t>
      </w:r>
    </w:p>
    <w:p>
      <w:pPr>
        <w:spacing w:before="0" w:after="120" w:line="360" w:lineRule="auto"/>
        <w:ind w:firstLine="562"/>
        <w:jc w:val="both"/>
      </w:pPr>
      <w:r>
        <w:rPr>
          <w:rFonts w:ascii="Times New Roman" w:hAnsi="Times New Roman"/>
          <w:sz w:val="24"/>
        </w:rPr>
        <w:t>Air irigasi diarahkan meresap pada area proyeksi kanopi tanaman dengan radius 0,5–0,8 m dari pangkal batang hingga mencapai kedalaman profil tanah 20–40 cm. Distribusi air yang terkonsentrasi pada zona perakaran aktif serabut menghindarkan pembasahan batang utama yang rentan jamur batang serta tidak membasahi area jalan antar-baris secara sia-sia.</w:t>
      </w:r>
    </w:p>
    <w:p>
      <w:pPr>
        <w:keepNext/>
        <w:spacing w:before="160" w:after="40" w:line="360" w:lineRule="auto"/>
        <w:ind w:firstLine="0"/>
        <w:jc w:val="both"/>
      </w:pPr>
      <w:r>
        <w:rPr>
          <w:rFonts w:ascii="Times New Roman" w:hAnsi="Times New Roman"/>
          <w:b/>
          <w:sz w:val="24"/>
        </w:rPr>
        <w:t>S-05. Derajat Filtrasi Fisik Partikulat</w:t>
      </w:r>
    </w:p>
    <w:p>
      <w:pPr>
        <w:spacing w:before="0" w:after="120" w:line="360" w:lineRule="auto"/>
        <w:ind w:firstLine="562"/>
        <w:jc w:val="both"/>
      </w:pPr>
      <w:r>
        <w:rPr>
          <w:rFonts w:ascii="Times New Roman" w:hAnsi="Times New Roman"/>
          <w:sz w:val="24"/>
        </w:rPr>
        <w:t>Untuk mengatasi kekeruhan air sungai Ciberes, sistem wajib dilengkapi dengan saringan partikulat dengan kerapatan minimal 120 mesh (mampu menyaring partikel berdiameter &gt;= 130 um). Hal ini merupakan syarat wajib untuk mencegah terjadinya penyumbatan mekanis pada emiter, lubang nozzle, katup pengontrol, dan impeller pompa air mikro.</w:t>
      </w:r>
    </w:p>
    <w:p>
      <w:pPr>
        <w:keepNext/>
        <w:spacing w:before="160" w:after="40" w:line="360" w:lineRule="auto"/>
        <w:ind w:firstLine="0"/>
        <w:jc w:val="both"/>
      </w:pPr>
      <w:r>
        <w:rPr>
          <w:rFonts w:ascii="Times New Roman" w:hAnsi="Times New Roman"/>
          <w:b/>
          <w:sz w:val="24"/>
        </w:rPr>
        <w:t>S-06. Ketahanan Cadangan Energi Mandiri (Autonomy)</w:t>
      </w:r>
    </w:p>
    <w:p>
      <w:pPr>
        <w:spacing w:before="0" w:after="120" w:line="360" w:lineRule="auto"/>
        <w:ind w:firstLine="562"/>
        <w:jc w:val="both"/>
      </w:pPr>
      <w:r>
        <w:rPr>
          <w:rFonts w:ascii="Times New Roman" w:hAnsi="Times New Roman"/>
          <w:sz w:val="24"/>
        </w:rPr>
        <w:t>Subsistem daya mandiri (off-grid) harus mampu menyuplai kebutuhan daya operasional beban penuh selama minimal 8 jam kerja kontinu tanpa kehadiran cahaya matahari langsung (setara dengan cadangan daya untuk 2 siklus penyiraman lengkap). Hal ini menjamin keandalan sistem tetap prima saat wilayah Ciberes dilanda cuaca berawan atau mendung berturut-turut.</w:t>
      </w:r>
    </w:p>
    <w:p>
      <w:pPr>
        <w:keepNext/>
        <w:spacing w:before="160" w:after="40" w:line="360" w:lineRule="auto"/>
        <w:ind w:firstLine="0"/>
        <w:jc w:val="both"/>
      </w:pPr>
      <w:r>
        <w:rPr>
          <w:rFonts w:ascii="Times New Roman" w:hAnsi="Times New Roman"/>
          <w:b/>
          <w:sz w:val="24"/>
        </w:rPr>
        <w:t>S-07. Ketahanan Lingkungan Selungkup (Ingress Protection)</w:t>
      </w:r>
    </w:p>
    <w:p>
      <w:pPr>
        <w:spacing w:before="0" w:after="120" w:line="360" w:lineRule="auto"/>
        <w:ind w:firstLine="562"/>
        <w:jc w:val="both"/>
      </w:pPr>
      <w:r>
        <w:rPr>
          <w:rFonts w:ascii="Times New Roman" w:hAnsi="Times New Roman"/>
          <w:sz w:val="24"/>
        </w:rPr>
        <w:t>Seluruh kotak kontrol (controller enclosure), konektor kelistrikan, papan modul sensor, dan unit catu daya wajib bersertifikasi minimal IP65 serta mampu bekerja normal pada rentang suhu ambien 20 deg C hingga 55 deg C. Selungkup harus tahan terhadap terpaan panas matahari tropis Subang, percikan lumpur tanah, dan semprotan air saat pembersihan kebun.</w:t>
      </w:r>
    </w:p>
    <w:p>
      <w:pPr>
        <w:keepNext/>
        <w:spacing w:before="160" w:after="40" w:line="360" w:lineRule="auto"/>
        <w:ind w:firstLine="0"/>
        <w:jc w:val="both"/>
      </w:pPr>
      <w:r>
        <w:rPr>
          <w:rFonts w:ascii="Times New Roman" w:hAnsi="Times New Roman"/>
          <w:b/>
          <w:sz w:val="24"/>
        </w:rPr>
        <w:t>S-08. Batas Biaya Investasi Awal Sistem (CAPEX)</w:t>
      </w:r>
    </w:p>
    <w:p>
      <w:pPr>
        <w:spacing w:before="0" w:after="120" w:line="360" w:lineRule="auto"/>
        <w:ind w:firstLine="562"/>
        <w:jc w:val="both"/>
      </w:pPr>
      <w:r>
        <w:rPr>
          <w:rFonts w:ascii="Times New Roman" w:hAnsi="Times New Roman"/>
          <w:sz w:val="24"/>
        </w:rPr>
        <w:t>Total biaya rancang bangun, belanja komponen, fabrikasi struktural, instalasi sistem, dan instrumentasi dibatasi maksimal Rp18.000.000. Angka batas atas ini ditetapkan secara rasional agar investasi terjangkau oleh petani skala menengah dan tidak melebihi alokasi dana kelayakan modal usaha tani.</w:t>
      </w:r>
    </w:p>
    <w:p>
      <w:pPr>
        <w:keepNext/>
        <w:spacing w:before="160" w:after="40" w:line="360" w:lineRule="auto"/>
        <w:ind w:firstLine="0"/>
        <w:jc w:val="both"/>
      </w:pPr>
      <w:r>
        <w:rPr>
          <w:rFonts w:ascii="Times New Roman" w:hAnsi="Times New Roman"/>
          <w:b/>
          <w:sz w:val="24"/>
        </w:rPr>
        <w:t>S-09. Biaya Operasional per Siklus Penyiraman (OPEX)</w:t>
      </w:r>
    </w:p>
    <w:p>
      <w:pPr>
        <w:spacing w:before="0" w:after="120" w:line="360" w:lineRule="auto"/>
        <w:ind w:firstLine="562"/>
        <w:jc w:val="both"/>
      </w:pPr>
      <w:r>
        <w:rPr>
          <w:rFonts w:ascii="Times New Roman" w:hAnsi="Times New Roman"/>
          <w:sz w:val="24"/>
        </w:rPr>
        <w:t>Biaya operasional yang mencakup konsumsi energi (pengisian daya/bahan bakar cadangan) dan alokasi jasa pemantauan operator ditekan hingga maksimal Rp50.000 per siklus penyiraman. Hal ini menghasilkan penghematan biaya langsung sebesar 87,5% per kegiatan dibandingkan pengeluaran rutin upah guyur manual eksisting (Rp400.000 per kegiatan).</w:t>
      </w:r>
    </w:p>
    <w:p>
      <w:pPr>
        <w:keepNext/>
        <w:spacing w:before="160" w:after="40" w:line="360" w:lineRule="auto"/>
        <w:ind w:firstLine="0"/>
        <w:jc w:val="both"/>
      </w:pPr>
      <w:r>
        <w:rPr>
          <w:rFonts w:ascii="Times New Roman" w:hAnsi="Times New Roman"/>
          <w:b/>
          <w:sz w:val="24"/>
        </w:rPr>
        <w:t>S-10. Periode Pengembalian Modal (Payback Period)</w:t>
      </w:r>
    </w:p>
    <w:p>
      <w:pPr>
        <w:spacing w:before="0" w:after="120" w:line="360" w:lineRule="auto"/>
        <w:ind w:firstLine="562"/>
        <w:jc w:val="both"/>
      </w:pPr>
      <w:r>
        <w:rPr>
          <w:rFonts w:ascii="Times New Roman" w:hAnsi="Times New Roman"/>
          <w:sz w:val="24"/>
        </w:rPr>
        <w:t>Dengan efisiensi penghematan biaya operasional penyiraman yang mencapai lebih dari Rp35.000.000 hingga Rp40.000.000 per tahun (pada skenario frekuensi penyiraman kemarau), nilai investasi sistem sebesar &lt;= Rp18.000.000 ditargetkan mencapai titik impas modal (break-even point / payback period) dalam kurun waktu 12 hingga 18 bulan operasi.</w:t>
      </w:r>
    </w:p>
    <w:p>
      <w:pPr>
        <w:keepNext/>
        <w:spacing w:before="160" w:after="40" w:line="360" w:lineRule="auto"/>
        <w:ind w:firstLine="0"/>
        <w:jc w:val="both"/>
      </w:pPr>
      <w:r>
        <w:rPr>
          <w:rFonts w:ascii="Times New Roman" w:hAnsi="Times New Roman"/>
          <w:b/>
          <w:sz w:val="24"/>
        </w:rPr>
        <w:t>S-11. Efisiensi Aplikasi Air Irigasi (eta_a)</w:t>
      </w:r>
    </w:p>
    <w:p>
      <w:pPr>
        <w:spacing w:before="0" w:after="120" w:line="360" w:lineRule="auto"/>
        <w:ind w:firstLine="562"/>
        <w:jc w:val="both"/>
      </w:pPr>
      <w:r>
        <w:rPr>
          <w:rFonts w:ascii="Times New Roman" w:hAnsi="Times New Roman"/>
          <w:sz w:val="24"/>
        </w:rPr>
        <w:t>Efisiensi aplikasi air dihitung dari rasio volume air yang tersimpan di zona perakaran aktif terhadap volume total air yang dialirkan dari sumber. Sistem baru ditargetkan mencapai efisiensi eta_a &gt;= 80%, melompat jauh melampaui efisiensi penyiraman parit tanah konvensional yang kerap di bawah 40–50% akibat rembesan horizontal tanah galian dan evaporasi terbuka di sepanjang parit 100 meter.</w:t>
      </w:r>
    </w:p>
    <w:p>
      <w:pPr>
        <w:keepNext/>
        <w:spacing w:before="160" w:after="40" w:line="360" w:lineRule="auto"/>
        <w:ind w:firstLine="0"/>
        <w:jc w:val="both"/>
      </w:pPr>
      <w:r>
        <w:rPr>
          <w:rFonts w:ascii="Times New Roman" w:hAnsi="Times New Roman"/>
          <w:b/>
          <w:sz w:val="24"/>
        </w:rPr>
        <w:t>S-12. Emisi Gas Buang di Zona Tajuk Perakaran</w:t>
      </w:r>
    </w:p>
    <w:p>
      <w:pPr>
        <w:spacing w:before="0" w:after="120" w:line="360" w:lineRule="auto"/>
        <w:ind w:firstLine="562"/>
        <w:jc w:val="both"/>
      </w:pPr>
      <w:r>
        <w:rPr>
          <w:rFonts w:ascii="Times New Roman" w:hAnsi="Times New Roman"/>
          <w:sz w:val="24"/>
        </w:rPr>
        <w:t>Sistem operasi penyiraman di sekitar barisan tanaman tidak menghasilkan emisi gas buang jelaga karbon monoksida maupun tetesan residu pelumas oli di atas tanah perakaran. Hal ini memperbaiki kelemahan pompa pembakaran internal berbahan bakar bensin/Pertalite eksisting yang mencemari lingkungan perakaran dan berisiko meracuni mikroorganisme tanah penyubur jeruk.</w:t>
      </w:r>
    </w:p>
    <w:p>
      <w:pPr>
        <w:keepNext/>
        <w:spacing w:before="160" w:after="40" w:line="360" w:lineRule="auto"/>
        <w:ind w:firstLine="0"/>
        <w:jc w:val="both"/>
      </w:pPr>
      <w:r>
        <w:rPr>
          <w:rFonts w:ascii="Times New Roman" w:hAnsi="Times New Roman"/>
          <w:b/>
          <w:sz w:val="24"/>
        </w:rPr>
        <w:t>S-13. Kemudahan Pengoperasian oleh Operator Mitra</w:t>
      </w:r>
    </w:p>
    <w:p>
      <w:pPr>
        <w:spacing w:before="0" w:after="120" w:line="360" w:lineRule="auto"/>
        <w:ind w:firstLine="562"/>
        <w:jc w:val="both"/>
      </w:pPr>
      <w:r>
        <w:rPr>
          <w:rFonts w:ascii="Times New Roman" w:hAnsi="Times New Roman"/>
          <w:sz w:val="24"/>
        </w:rPr>
        <w:t>Antarmuka pengguna (user interface) dirancang dengan logika operasional sederhana (semi-autonomous / single-button start). Pekerja kebun lokal dengan latar belakang pendidikan dasar dapat mengoperasikan dan memantau status penyiraman dengan waktu pelatihan singkat tidak lebih dari 30 menit.</w:t>
      </w:r>
    </w:p>
    <w:p>
      <w:pPr>
        <w:keepNext/>
        <w:spacing w:before="160" w:after="40" w:line="360" w:lineRule="auto"/>
        <w:ind w:firstLine="0"/>
        <w:jc w:val="both"/>
      </w:pPr>
      <w:r>
        <w:rPr>
          <w:rFonts w:ascii="Times New Roman" w:hAnsi="Times New Roman"/>
          <w:b/>
          <w:sz w:val="24"/>
        </w:rPr>
        <w:t>S-14. Durasi Pemeliharaan Rutin Saringan dan Mekanik</w:t>
      </w:r>
    </w:p>
    <w:p>
      <w:pPr>
        <w:spacing w:before="0" w:after="120" w:line="360" w:lineRule="auto"/>
        <w:ind w:firstLine="562"/>
        <w:jc w:val="both"/>
      </w:pPr>
      <w:r>
        <w:rPr>
          <w:rFonts w:ascii="Times New Roman" w:hAnsi="Times New Roman"/>
          <w:sz w:val="24"/>
        </w:rPr>
        <w:t>Desain mekanis sistem dirancang modular sehingga proses pembongkaran, pembersihan saringan kotoran, dan perakitan kembali dapat dituntaskan oleh satu orang pekerja dalam waktu kurang dari 20 menit per bulan menggunakan perkakas bengkel pertanian umum (seperti obeng dan kunci pas standar tanpa memerlukan alat kalibrasi khusus).</w:t>
      </w:r>
    </w:p>
    <w:p>
      <w:pPr>
        <w:keepNext/>
        <w:spacing w:before="280" w:after="120" w:line="360" w:lineRule="auto"/>
        <w:jc w:val="left"/>
      </w:pPr>
      <w:r>
        <w:rPr>
          <w:rFonts w:ascii="Times New Roman" w:hAnsi="Times New Roman"/>
          <w:b/>
          <w:sz w:val="24"/>
        </w:rPr>
        <w:t>1.3 Pengukuran dan Verifikasi Spesifikasi</w:t>
      </w:r>
    </w:p>
    <w:p>
      <w:pPr>
        <w:spacing w:before="0" w:after="120" w:line="360" w:lineRule="auto"/>
        <w:ind w:firstLine="562"/>
        <w:jc w:val="both"/>
      </w:pPr>
      <w:r>
        <w:rPr>
          <w:rFonts w:ascii="Times New Roman" w:hAnsi="Times New Roman"/>
          <w:sz w:val="24"/>
        </w:rPr>
        <w:t>Untuk membuktikan secara ilmiah dan kuantitatif bahwa solusi rekayasa yang dikembangkan pada tahap selanjutnya benar-benar memenuhi spesifikasi yang dijanjikan, bagian ini menyusun rencana pengukuran dan prosedur verifikasi (verification protocol). Setiap spesifikasi dilengkapi dengan metode standar pengujian, peralatan ukur terkalibrasi, mekanisme langkah pengujian, serta kriteria keberhasilan verifikasi yang disajikan pada Tabel 4.</w:t>
      </w:r>
    </w:p>
    <w:p>
      <w:pPr>
        <w:keepNext/>
        <w:spacing w:before="200" w:after="80" w:line="276" w:lineRule="auto"/>
        <w:jc w:val="center"/>
      </w:pPr>
      <w:r>
        <w:rPr>
          <w:rFonts w:ascii="Times New Roman" w:hAnsi="Times New Roman"/>
          <w:b/>
          <w:sz w:val="22"/>
        </w:rPr>
        <w:t>Tabel 4. Matriks Rencana Pengukuran dan Verifikasi Spesifikasi</w:t>
      </w:r>
    </w:p>
    <w:tbl>
      <w:tblPr>
        <w:tblW w:type="auto" w:w="0"/>
        <w:jc w:val="center"/>
        <w:tblLook w:firstColumn="1" w:firstRow="1" w:lastColumn="0" w:lastRow="0" w:noHBand="0" w:noVBand="1" w:val="04A0"/>
        <w:tblBorders>
          <w:top w:val="single" w:sz="4" w:space="0" w:color="808080"/>
          <w:bottom w:val="single" w:sz="4" w:space="0" w:color="808080"/>
          <w:insideH w:val="single" w:sz="4" w:space="0" w:color="808080"/>
          <w:insideV w:val="single" w:sz="4" w:space="0" w:color="808080"/>
          <w:left w:val="single" w:sz="4" w:space="0" w:color="808080"/>
          <w:right w:val="single" w:sz="4" w:space="0" w:color="808080"/>
        </w:tblBorders>
      </w:tblPr>
      <w:tblGrid>
        <w:gridCol w:w="1504"/>
        <w:gridCol w:w="1504"/>
        <w:gridCol w:w="1504"/>
        <w:gridCol w:w="1504"/>
        <w:gridCol w:w="1504"/>
        <w:gridCol w:w="1504"/>
      </w:tblGrid>
      <w:tr>
        <w:trPr>
          <w:cantSplit/>
          <w:tblHeader/>
        </w:trPr>
        <w:tc>
          <w:tcPr>
            <w:tcW w:type="dxa" w:w="864"/>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ID</w:t>
            </w:r>
          </w:p>
        </w:tc>
        <w:tc>
          <w:tcPr>
            <w:tcW w:type="dxa" w:w="259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Parameter yang Diuji</w:t>
            </w:r>
          </w:p>
        </w:tc>
        <w:tc>
          <w:tcPr>
            <w:tcW w:type="dxa" w:w="187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Target Nilai</w:t>
            </w:r>
          </w:p>
        </w:tc>
        <w:tc>
          <w:tcPr>
            <w:tcW w:type="dxa" w:w="1152"/>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Metode / Standar Uji</w:t>
            </w:r>
          </w:p>
        </w:tc>
        <w:tc>
          <w:tcPr>
            <w:tcW w:type="dxa" w:w="1440"/>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Alat Ukur / Verifikasi</w:t>
            </w:r>
          </w:p>
        </w:tc>
        <w:tc>
          <w:tcPr>
            <w:tcW w:type="dxa" w:w="2160"/>
            <w:shd w:fill="E0E0E0"/>
            <w:tcMar>
              <w:top w:w="60" w:type="dxa"/>
              <w:bottom w:w="60" w:type="dxa"/>
              <w:left w:w="80" w:type="dxa"/>
              <w:right w:w="80" w:type="dxa"/>
            </w:tcMar>
          </w:tcPr>
          <w:p>
            <w:pPr>
              <w:spacing w:line="252" w:lineRule="auto" w:before="40" w:after="40"/>
              <w:jc w:val="center"/>
            </w:pPr>
            <w:r>
              <w:rPr>
                <w:rFonts w:ascii="Times New Roman" w:hAnsi="Times New Roman"/>
                <w:b/>
                <w:sz w:val="19"/>
              </w:rPr>
              <w:t>Kriteria Kelulusan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S-01</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Volume Air per Pohon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10 - 15 L +- 5%</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Metode Volumetrik Langsung</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Wadah tera, Gelas ukur 1.000 mL, Flow meter</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Volume tertampung 9,5 - 15,75 L.</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S-02</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Keseragaman Distribusi</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CU &gt;= 85%</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Standar ASABE S398.1 (Catch Cans)</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15 unit catch cans, Silinder ukur, Formula CU</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Perhitungan matematis CU &gt;= 85,0%.</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S-03</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Durasi Siklus Total</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4,0 Jam</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Pencatatan Waktu Siklus Penuh</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Stopwatch terkalibrasi, Data logger sistem</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Waktu selesai siram &lt;= 240 menit.</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S-04</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Radius &amp; Kedalaman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r &gt;= 0,5 m; d &gt;= 20 cm</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Pengukuran Penetrasi Tanah Basah</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Meteran baja, Bor tanah mini, Sensor lengas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Profil basah r &gt;= 50 cm dan d &gt;= 20 cm.</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S-05</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Derajat Filtrasi Fisik</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120 mesh</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Uji Hambatan &amp; Partikel Lolos</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Saringan kawat 120 mesh, Manometer DP</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Nol partikel &gt;= 130 um lolos ke pipa.</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S-06</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Cadangan Daya Mandiri</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8,0 Jam</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Uji Beban Penuh Kontinu Off-Grid</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DC Power Meter, Clamp meter, Data logger</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Operasi beban penuh &gt;= 8 jam tanpa cutoff.</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S-07</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Ketahanan Selungkup</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IP65 &amp; 20 - 55 deg C</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Metode Uji Standar IEC 60529</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Nozzle 6,3 mm debit 12,5 L/m, Termometer IR</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Nol rembesan air ke PCB; stabil 55 deg C.</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S-08</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Biaya Investasi (CAPEX)</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Rp 18.000.000</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Audit Finansial BOM Riil</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Rekapitulasi nota &amp; faktur pengadaan resmi</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Total belanja riil &lt;= plafon anggaran.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S-09</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Biaya Operasional (OPEX)</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Rp 50.000/siklus</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Pencatatan Konsumsi Energi &amp; Jasa</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Log pengeluaran operasional per kegiatan</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Biaya energi + jasa &lt;= Rp 50.000/siklus.</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S-10</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Payback Period</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12 - 18 Bulan</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Analisis Finansial Usaha Tani</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Formula PP = CAPEX / Delta OPEX Tahunan</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Nilai PP terhitung &lt;= 1,5 tahun.</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S-11</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Efisiensi Aplikasi (eta_a)</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&gt;= 80%</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Neraca Air Masuk vs Terserap Akar</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Flow meter pipa utama, Volumetrik perakaran</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Rasio volume air terserap &gt;= 0,80.</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S-12</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Emisi Gas di Kebun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0 g/kWh Emisi Lokal</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Inspeksi Penggerak &amp; Deteksi Gas</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Gas detector portabel (CO, HC), Visual pelumas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Nol emisi gas racun &amp; nol ceceran oli.</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S-13</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Kemudahan Operasi</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Waktu ajar &lt;= 30 Menit</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Uji Keterpakaian Lapangan (Usability)</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Lembar tugas operator mitra, Stopwatch tugas</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Operator mandiri operasikan dalam &lt;= 30 mnt.</w:t>
            </w:r>
          </w:p>
        </w:tc>
      </w:tr>
      <w:tr>
        <w:trPr>
          <w:cantSplit/>
        </w:trPr>
        <w:tc>
          <w:tcPr>
            <w:tcW w:type="dxa" w:w="864"/>
            <w:tcMar>
              <w:top w:w="60" w:type="dxa"/>
              <w:bottom w:w="60" w:type="dxa"/>
              <w:left w:w="80" w:type="dxa"/>
              <w:right w:w="80" w:type="dxa"/>
            </w:tcMar>
          </w:tcPr>
          <w:p>
            <w:pPr>
              <w:spacing w:line="252" w:lineRule="auto" w:before="40" w:after="40"/>
              <w:jc w:val="center"/>
            </w:pPr>
            <w:r>
              <w:rPr>
                <w:rFonts w:ascii="Times New Roman" w:hAnsi="Times New Roman"/>
                <w:sz w:val="18"/>
              </w:rPr>
              <w:t>S-14</w:t>
            </w:r>
          </w:p>
        </w:tc>
        <w:tc>
          <w:tcPr>
            <w:tcW w:type="dxa" w:w="2592"/>
            <w:tcMar>
              <w:top w:w="60" w:type="dxa"/>
              <w:bottom w:w="60" w:type="dxa"/>
              <w:left w:w="80" w:type="dxa"/>
              <w:right w:w="80" w:type="dxa"/>
            </w:tcMar>
          </w:tcPr>
          <w:p>
            <w:pPr>
              <w:spacing w:line="252" w:lineRule="auto" w:before="40" w:after="40"/>
              <w:jc w:val="left"/>
            </w:pPr>
            <w:r>
              <w:rPr>
                <w:rFonts w:ascii="Times New Roman" w:hAnsi="Times New Roman"/>
                <w:sz w:val="18"/>
              </w:rPr>
              <w:t>Waktu Pemeliharaan</w:t>
            </w:r>
          </w:p>
        </w:tc>
        <w:tc>
          <w:tcPr>
            <w:tcW w:type="dxa" w:w="1872"/>
            <w:tcMar>
              <w:top w:w="60" w:type="dxa"/>
              <w:bottom w:w="60" w:type="dxa"/>
              <w:left w:w="80" w:type="dxa"/>
              <w:right w:w="80" w:type="dxa"/>
            </w:tcMar>
          </w:tcPr>
          <w:p>
            <w:pPr>
              <w:spacing w:line="252" w:lineRule="auto" w:before="40" w:after="40"/>
              <w:jc w:val="center"/>
            </w:pPr>
            <w:r>
              <w:rPr>
                <w:rFonts w:ascii="Times New Roman" w:hAnsi="Times New Roman"/>
                <w:sz w:val="18"/>
              </w:rPr>
              <w:t>&lt;= 20 Menit/bulan</w:t>
            </w:r>
          </w:p>
        </w:tc>
        <w:tc>
          <w:tcPr>
            <w:tcW w:type="dxa" w:w="1152"/>
            <w:tcMar>
              <w:top w:w="60" w:type="dxa"/>
              <w:bottom w:w="60" w:type="dxa"/>
              <w:left w:w="80" w:type="dxa"/>
              <w:right w:w="80" w:type="dxa"/>
            </w:tcMar>
          </w:tcPr>
          <w:p>
            <w:pPr>
              <w:spacing w:line="252" w:lineRule="auto" w:before="40" w:after="40"/>
              <w:jc w:val="left"/>
            </w:pPr>
            <w:r>
              <w:rPr>
                <w:rFonts w:ascii="Times New Roman" w:hAnsi="Times New Roman"/>
                <w:sz w:val="18"/>
              </w:rPr>
              <w:t>Uji Waktu Bongkar-Pasang Saringan</w:t>
            </w:r>
          </w:p>
        </w:tc>
        <w:tc>
          <w:tcPr>
            <w:tcW w:type="dxa" w:w="1440"/>
            <w:tcMar>
              <w:top w:w="60" w:type="dxa"/>
              <w:bottom w:w="60" w:type="dxa"/>
              <w:left w:w="80" w:type="dxa"/>
              <w:right w:w="80" w:type="dxa"/>
            </w:tcMar>
          </w:tcPr>
          <w:p>
            <w:pPr>
              <w:spacing w:line="252" w:lineRule="auto" w:before="40" w:after="40"/>
              <w:jc w:val="left"/>
            </w:pPr>
            <w:r>
              <w:rPr>
                <w:rFonts w:ascii="Times New Roman" w:hAnsi="Times New Roman"/>
                <w:sz w:val="18"/>
              </w:rPr>
              <w:t>Stopwatch, Perkakas kunci pas &amp; obeng umum</w:t>
            </w:r>
          </w:p>
        </w:tc>
        <w:tc>
          <w:tcPr>
            <w:tcW w:type="dxa" w:w="2160"/>
            <w:tcMar>
              <w:top w:w="60" w:type="dxa"/>
              <w:bottom w:w="60" w:type="dxa"/>
              <w:left w:w="80" w:type="dxa"/>
              <w:right w:w="80" w:type="dxa"/>
            </w:tcMar>
          </w:tcPr>
          <w:p>
            <w:pPr>
              <w:spacing w:line="252" w:lineRule="auto" w:before="40" w:after="40"/>
              <w:jc w:val="left"/>
            </w:pPr>
            <w:r>
              <w:rPr>
                <w:rFonts w:ascii="Times New Roman" w:hAnsi="Times New Roman"/>
                <w:sz w:val="18"/>
              </w:rPr>
              <w:t>Flushing &amp; bersih saringan &lt;= 20 menit.</w:t>
            </w:r>
          </w:p>
        </w:tc>
      </w:tr>
    </w:tbl>
    <w:p>
      <w:pPr>
        <w:keepNext/>
        <w:spacing w:before="240" w:after="80" w:line="360" w:lineRule="auto"/>
        <w:jc w:val="left"/>
      </w:pPr>
      <w:r>
        <w:rPr>
          <w:rFonts w:ascii="Times New Roman" w:hAnsi="Times New Roman"/>
          <w:b/>
          <w:sz w:val="24"/>
        </w:rPr>
        <w:t>1.3.1 Prosedur Verifikasi Dosis dan Keseragaman Distribusi Air (S-01, S-02, S-04)</w:t>
      </w:r>
    </w:p>
    <w:p>
      <w:pPr>
        <w:keepNext/>
        <w:spacing w:before="160" w:after="40" w:line="360" w:lineRule="auto"/>
        <w:ind w:firstLine="0"/>
        <w:jc w:val="both"/>
      </w:pPr>
      <w:r>
        <w:rPr>
          <w:rFonts w:ascii="Times New Roman" w:hAnsi="Times New Roman"/>
          <w:b/>
          <w:sz w:val="24"/>
        </w:rPr>
        <w:t>1. Protokol Uji Keseragaman Christiansen (ASABE S398.1)</w:t>
      </w:r>
    </w:p>
    <w:p>
      <w:pPr>
        <w:spacing w:before="0" w:after="120" w:line="360" w:lineRule="auto"/>
        <w:ind w:firstLine="562"/>
        <w:jc w:val="both"/>
      </w:pPr>
      <w:r>
        <w:rPr>
          <w:rFonts w:ascii="Times New Roman" w:hAnsi="Times New Roman"/>
          <w:sz w:val="24"/>
        </w:rPr>
        <w:t>Sebanyak 15 titik pohon sampel ditetapkan secara acak terstratifikasi mewakili tiga zona hidrolik: 5 pohon di baris awal (dekat titik suplai air), 5 pohon di zona tengah (jarak ~50 m), dan 5 pohon di baris ujung parit (jarak ~100 m). Pada setiap pohon sampel diletakkan bejana ukur penampung (catch cans) yang mengelilingi radius perakaran tanaman.</w:t>
      </w:r>
    </w:p>
    <w:p>
      <w:pPr>
        <w:keepNext/>
        <w:spacing w:before="160" w:after="40" w:line="360" w:lineRule="auto"/>
        <w:ind w:firstLine="0"/>
        <w:jc w:val="both"/>
      </w:pPr>
      <w:r>
        <w:rPr>
          <w:rFonts w:ascii="Times New Roman" w:hAnsi="Times New Roman"/>
          <w:b/>
          <w:sz w:val="24"/>
        </w:rPr>
        <w:t>2. Pengukuran Volumetrik dan Analisis Matematis CU</w:t>
      </w:r>
    </w:p>
    <w:p>
      <w:pPr>
        <w:spacing w:before="0" w:after="120" w:line="360" w:lineRule="auto"/>
        <w:ind w:firstLine="562"/>
        <w:jc w:val="both"/>
      </w:pPr>
      <w:r>
        <w:rPr>
          <w:rFonts w:ascii="Times New Roman" w:hAnsi="Times New Roman"/>
          <w:sz w:val="24"/>
        </w:rPr>
        <w:t>Setelah satu siklus penyiraman selesai dijalankan, volume air tertampung pada masing-masing bejana (Xi) diukur menggunakan silinder ukur bertingkat presisi +- 5 mL. Koefisien Keseragaman Christiansen (CU) dihitung menggunakan rumus matematis: CU = 100 x [1 - (Sum |Xi - X_bar|) / (n x X_bar)], dengan n = 15. Spesifikasi dinyatakan lulus jika CU &gt;= 85% dan deviasi volume tiap titik terhadap target 10–15 L tidak melampaui +- 5%.</w:t>
      </w:r>
    </w:p>
    <w:p>
      <w:pPr>
        <w:keepNext/>
        <w:spacing w:before="160" w:after="40" w:line="360" w:lineRule="auto"/>
        <w:ind w:firstLine="0"/>
        <w:jc w:val="both"/>
      </w:pPr>
      <w:r>
        <w:rPr>
          <w:rFonts w:ascii="Times New Roman" w:hAnsi="Times New Roman"/>
          <w:b/>
          <w:sz w:val="24"/>
        </w:rPr>
        <w:t>3. Verifikasi Penetrasi dan Infiltrasi Tanah</w:t>
      </w:r>
    </w:p>
    <w:p>
      <w:pPr>
        <w:spacing w:before="0" w:after="120" w:line="360" w:lineRule="auto"/>
        <w:ind w:firstLine="562"/>
        <w:jc w:val="both"/>
      </w:pPr>
      <w:r>
        <w:rPr>
          <w:rFonts w:ascii="Times New Roman" w:hAnsi="Times New Roman"/>
          <w:sz w:val="24"/>
        </w:rPr>
        <w:t>Tiga puluh menit pasca-siram, profil kedalaman pembasahan tanah diuji menggunakan bor tanah mini (soil core auger) sedalam 40 cm pada radius 60 cm dari batang untuk memastikan air terinfiltrasi pada zona perakaran aktif tanpa menimbulkan genangan permukaan &gt; 30 menit.</w:t>
      </w:r>
    </w:p>
    <w:p>
      <w:pPr>
        <w:keepNext/>
        <w:spacing w:before="240" w:after="80" w:line="360" w:lineRule="auto"/>
        <w:jc w:val="left"/>
      </w:pPr>
      <w:r>
        <w:rPr>
          <w:rFonts w:ascii="Times New Roman" w:hAnsi="Times New Roman"/>
          <w:b/>
          <w:sz w:val="24"/>
        </w:rPr>
        <w:t>1.3.2 Prosedur Verifikasi Durasi Siklus dan Filtrasi Fisik (S-03, S-05)</w:t>
      </w:r>
    </w:p>
    <w:p>
      <w:pPr>
        <w:keepNext/>
        <w:spacing w:before="160" w:after="40" w:line="360" w:lineRule="auto"/>
        <w:ind w:firstLine="0"/>
        <w:jc w:val="both"/>
      </w:pPr>
      <w:r>
        <w:rPr>
          <w:rFonts w:ascii="Times New Roman" w:hAnsi="Times New Roman"/>
          <w:b/>
          <w:sz w:val="24"/>
        </w:rPr>
        <w:t>1. Pengukuran Durasi Operasi Kebun</w:t>
      </w:r>
    </w:p>
    <w:p>
      <w:pPr>
        <w:spacing w:before="0" w:after="120" w:line="360" w:lineRule="auto"/>
        <w:ind w:firstLine="562"/>
        <w:jc w:val="both"/>
      </w:pPr>
      <w:r>
        <w:rPr>
          <w:rFonts w:ascii="Times New Roman" w:hAnsi="Times New Roman"/>
          <w:sz w:val="24"/>
        </w:rPr>
        <w:t>Durasi siklus penyiraman diukur menggunakan stopwatch digital terkalibrasi yang diaktifkan tepat saat pompa/sistem utama mulai beroperasi dari titik awal kebun dan dihentikan saat pohon terakhir selesai terairi. Data waktu diverifikasi melalui pencatatan timestamp pada sistem mikrokontroler. Kriteria kelulusan terpenuhi jika durasi total &lt;= 240 menit (4 jam).</w:t>
      </w:r>
    </w:p>
    <w:p>
      <w:pPr>
        <w:keepNext/>
        <w:spacing w:before="160" w:after="40" w:line="360" w:lineRule="auto"/>
        <w:ind w:firstLine="0"/>
        <w:jc w:val="both"/>
      </w:pPr>
      <w:r>
        <w:rPr>
          <w:rFonts w:ascii="Times New Roman" w:hAnsi="Times New Roman"/>
          <w:b/>
          <w:sz w:val="24"/>
        </w:rPr>
        <w:t>2. Pengujian Kinerja Filtrasi Sedimen</w:t>
      </w:r>
    </w:p>
    <w:p>
      <w:pPr>
        <w:spacing w:before="0" w:after="120" w:line="360" w:lineRule="auto"/>
        <w:ind w:firstLine="562"/>
        <w:jc w:val="both"/>
      </w:pPr>
      <w:r>
        <w:rPr>
          <w:rFonts w:ascii="Times New Roman" w:hAnsi="Times New Roman"/>
          <w:sz w:val="24"/>
        </w:rPr>
        <w:t>Verifikasi kemampuan saringan dilakukan dengan memasang manometer diferensial pada sisi masuk dan keluar tabung saringan 120 mesh. Air sampel sungai Ciberes dialirkan pada debit kerja nominal selama 2 jam kontinu. Sampel air keluaran ditampung dan diuji menggunakan membran kertas saring laboratorium untuk memverifikasi bahwa tidak ada partikel sedimen berukuran &gt;= 130 um yang lolos menuju subsistem distribusi.</w:t>
      </w:r>
    </w:p>
    <w:p>
      <w:pPr>
        <w:keepNext/>
        <w:spacing w:before="240" w:after="80" w:line="360" w:lineRule="auto"/>
        <w:jc w:val="left"/>
      </w:pPr>
      <w:r>
        <w:rPr>
          <w:rFonts w:ascii="Times New Roman" w:hAnsi="Times New Roman"/>
          <w:b/>
          <w:sz w:val="24"/>
        </w:rPr>
        <w:t>1.3.3 Prosedur Verifikasi Kemandirian Daya dan Proteksi Lingkungan (S-06, S-07)</w:t>
      </w:r>
    </w:p>
    <w:p>
      <w:pPr>
        <w:keepNext/>
        <w:spacing w:before="160" w:after="40" w:line="360" w:lineRule="auto"/>
        <w:ind w:firstLine="0"/>
        <w:jc w:val="both"/>
      </w:pPr>
      <w:r>
        <w:rPr>
          <w:rFonts w:ascii="Times New Roman" w:hAnsi="Times New Roman"/>
          <w:b/>
          <w:sz w:val="24"/>
        </w:rPr>
        <w:t>1. Uji Ketahanan Pasokan Daya Mandiri (Off-Grid)</w:t>
      </w:r>
    </w:p>
    <w:p>
      <w:pPr>
        <w:spacing w:before="0" w:after="120" w:line="360" w:lineRule="auto"/>
        <w:ind w:firstLine="562"/>
        <w:jc w:val="both"/>
      </w:pPr>
      <w:r>
        <w:rPr>
          <w:rFonts w:ascii="Times New Roman" w:hAnsi="Times New Roman"/>
          <w:sz w:val="24"/>
        </w:rPr>
        <w:t>Uji ketahanan daya mandiri dilakukan dengan kondisi modul baterai terisi penuh (100% SoC) tanpa sambungan pengisian panel surya untuk mensimulasikan kondisi cuaca mendung ekstrem. Seluruh beban operasional diaktifkan pada siklus kerja penuh. Digital clamp meter DC dan data logger digunakan untuk merekam kurva penurunan tegangan baterai (V), arus beban (I), dan konsumsi daya total (P) setiap 10 menit. Sistem dinyatakan lulus apabila mampu beroperasi stabil selama minimal 8 jam kontinu tanpa menyentuh batas cut-off tegangan rendah.</w:t>
      </w:r>
    </w:p>
    <w:p>
      <w:pPr>
        <w:keepNext/>
        <w:spacing w:before="160" w:after="40" w:line="360" w:lineRule="auto"/>
        <w:ind w:firstLine="0"/>
        <w:jc w:val="both"/>
      </w:pPr>
      <w:r>
        <w:rPr>
          <w:rFonts w:ascii="Times New Roman" w:hAnsi="Times New Roman"/>
          <w:b/>
          <w:sz w:val="24"/>
        </w:rPr>
        <w:t>2. Uji Proteksi Selungkup Terhadap Debu dan Air (IP65)</w:t>
      </w:r>
    </w:p>
    <w:p>
      <w:pPr>
        <w:spacing w:before="0" w:after="120" w:line="360" w:lineRule="auto"/>
        <w:ind w:firstLine="562"/>
        <w:jc w:val="both"/>
      </w:pPr>
      <w:r>
        <w:rPr>
          <w:rFonts w:ascii="Times New Roman" w:hAnsi="Times New Roman"/>
          <w:sz w:val="24"/>
        </w:rPr>
        <w:t>Uji ketahanan lingkungan selungkup mengacu pada klausul standar IEC 60529 untuk proteksi IP65. Selungkup kontroler disemprot menggunakan nozzle berdiameter 6,3 mm dengan debit air 12,5 L/menit dari jarak 2,5–3 meter ke seluruh sambungan dan engsel selama 3 menit. Setelah pengujian semprot, bagian luar dikeringkan dan isi selungkup diperiksa secara visual untuk memastikan tidak ada setetes pun air yang merembes ke papan rangkaian elektronik.</w:t>
      </w:r>
    </w:p>
    <w:p>
      <w:pPr>
        <w:keepNext/>
        <w:spacing w:before="240" w:after="80" w:line="360" w:lineRule="auto"/>
        <w:jc w:val="left"/>
      </w:pPr>
      <w:r>
        <w:rPr>
          <w:rFonts w:ascii="Times New Roman" w:hAnsi="Times New Roman"/>
          <w:b/>
          <w:sz w:val="24"/>
        </w:rPr>
        <w:t>1.3.4 Prosedur Verifikasi Finansial, Efisiensi Biaya, dan Efisiensi Air (S-08, S-09, S-10, S-11)</w:t>
      </w:r>
    </w:p>
    <w:p>
      <w:pPr>
        <w:keepNext/>
        <w:spacing w:before="160" w:after="40" w:line="360" w:lineRule="auto"/>
        <w:ind w:firstLine="0"/>
        <w:jc w:val="both"/>
      </w:pPr>
      <w:r>
        <w:rPr>
          <w:rFonts w:ascii="Times New Roman" w:hAnsi="Times New Roman"/>
          <w:b/>
          <w:sz w:val="24"/>
        </w:rPr>
        <w:t>1. Audit Biaya Investasi Awal (CAPEX)</w:t>
      </w:r>
    </w:p>
    <w:p>
      <w:pPr>
        <w:spacing w:before="0" w:after="120" w:line="360" w:lineRule="auto"/>
        <w:ind w:firstLine="562"/>
        <w:jc w:val="both"/>
      </w:pPr>
      <w:r>
        <w:rPr>
          <w:rFonts w:ascii="Times New Roman" w:hAnsi="Times New Roman"/>
          <w:sz w:val="24"/>
        </w:rPr>
        <w:t>Biaya investasi awal (CAPEX) diverifikasi melalui audit dokumen Bill of Materials (BOM) berdasarkan total rekapitulasi nota belanja komponen riil dan ongkos fabrikasi bengkel lokal, yang harus terbukti &lt;= Rp18.000.000.</w:t>
      </w:r>
    </w:p>
    <w:p>
      <w:pPr>
        <w:keepNext/>
        <w:spacing w:before="160" w:after="40" w:line="360" w:lineRule="auto"/>
        <w:ind w:firstLine="0"/>
        <w:jc w:val="both"/>
      </w:pPr>
      <w:r>
        <w:rPr>
          <w:rFonts w:ascii="Times New Roman" w:hAnsi="Times New Roman"/>
          <w:b/>
          <w:sz w:val="24"/>
        </w:rPr>
        <w:t>2. Pengujian Biaya Operasional per Siklus (OPEX)</w:t>
      </w:r>
    </w:p>
    <w:p>
      <w:pPr>
        <w:spacing w:before="0" w:after="120" w:line="360" w:lineRule="auto"/>
        <w:ind w:firstLine="562"/>
        <w:jc w:val="both"/>
      </w:pPr>
      <w:r>
        <w:rPr>
          <w:rFonts w:ascii="Times New Roman" w:hAnsi="Times New Roman"/>
          <w:sz w:val="24"/>
        </w:rPr>
        <w:t>Biaya operasional per siklus (OPEX) dihitung dari konsumsi energi habis pakai ditambah alokasi jasa pemantauan operator, dengan batas kelulusan &lt;= Rp50.000 per kegiatan.</w:t>
      </w:r>
    </w:p>
    <w:p>
      <w:pPr>
        <w:keepNext/>
        <w:spacing w:before="160" w:after="40" w:line="360" w:lineRule="auto"/>
        <w:ind w:firstLine="0"/>
        <w:jc w:val="both"/>
      </w:pPr>
      <w:r>
        <w:rPr>
          <w:rFonts w:ascii="Times New Roman" w:hAnsi="Times New Roman"/>
          <w:b/>
          <w:sz w:val="24"/>
        </w:rPr>
        <w:t>3. Perhitungan Periode Pengembalian Modal (Payback Period)</w:t>
      </w:r>
    </w:p>
    <w:p>
      <w:pPr>
        <w:spacing w:before="0" w:after="120" w:line="360" w:lineRule="auto"/>
        <w:ind w:firstLine="562"/>
        <w:jc w:val="both"/>
      </w:pPr>
      <w:r>
        <w:rPr>
          <w:rFonts w:ascii="Times New Roman" w:hAnsi="Times New Roman"/>
          <w:sz w:val="24"/>
        </w:rPr>
        <w:t>Periode pengembalian modal (Payback Period) dihitung dengan formula PP = CAPEX riil / Delta OPEX Tahunan terhadap biaya manual eksisting (Rp48,7 juta/tahun), dengan syarat PP &lt;= 1,5 tahun (18 bulan).</w:t>
      </w:r>
    </w:p>
    <w:p>
      <w:pPr>
        <w:keepNext/>
        <w:spacing w:before="160" w:after="40" w:line="360" w:lineRule="auto"/>
        <w:ind w:firstLine="0"/>
        <w:jc w:val="both"/>
      </w:pPr>
      <w:r>
        <w:rPr>
          <w:rFonts w:ascii="Times New Roman" w:hAnsi="Times New Roman"/>
          <w:b/>
          <w:sz w:val="24"/>
        </w:rPr>
        <w:t>4. Pengukuran Efisiensi Aplikasi Air (eta_a)</w:t>
      </w:r>
    </w:p>
    <w:p>
      <w:pPr>
        <w:spacing w:before="0" w:after="120" w:line="360" w:lineRule="auto"/>
        <w:ind w:firstLine="562"/>
        <w:jc w:val="both"/>
      </w:pPr>
      <w:r>
        <w:rPr>
          <w:rFonts w:ascii="Times New Roman" w:hAnsi="Times New Roman"/>
          <w:sz w:val="24"/>
        </w:rPr>
        <w:t>Efisiensi aplikasi air diuji dengan memasang flow meter pada pipa masukan utama untuk mengukur volume total air disedot (V_in) dan membandingkannya dengan volume air efektif yang tersimpan pada zona perakaran seluruh pohon (V_akar), dengan syarat eta_a = (V_akar / V_in) x 100% &gt;= 80%.</w:t>
      </w:r>
    </w:p>
    <w:p>
      <w:pPr>
        <w:keepNext/>
        <w:spacing w:before="240" w:after="80" w:line="360" w:lineRule="auto"/>
        <w:jc w:val="left"/>
      </w:pPr>
      <w:r>
        <w:rPr>
          <w:rFonts w:ascii="Times New Roman" w:hAnsi="Times New Roman"/>
          <w:b/>
          <w:sz w:val="24"/>
        </w:rPr>
        <w:t>1.3.5 Prosedur Verifikasi Keterpakaian dan Pemeliharaan (S-13, S-14)</w:t>
      </w:r>
    </w:p>
    <w:p>
      <w:pPr>
        <w:keepNext/>
        <w:spacing w:before="160" w:after="40" w:line="360" w:lineRule="auto"/>
        <w:ind w:firstLine="0"/>
        <w:jc w:val="both"/>
      </w:pPr>
      <w:r>
        <w:rPr>
          <w:rFonts w:ascii="Times New Roman" w:hAnsi="Times New Roman"/>
          <w:b/>
          <w:sz w:val="24"/>
        </w:rPr>
        <w:t>1. Uji Keterpakaian oleh Operator Mitra (Usability Testing)</w:t>
      </w:r>
    </w:p>
    <w:p>
      <w:pPr>
        <w:spacing w:before="0" w:after="120" w:line="360" w:lineRule="auto"/>
        <w:ind w:firstLine="562"/>
        <w:jc w:val="both"/>
      </w:pPr>
      <w:r>
        <w:rPr>
          <w:rFonts w:ascii="Times New Roman" w:hAnsi="Times New Roman"/>
          <w:sz w:val="24"/>
        </w:rPr>
        <w:t>Uji keterpakaian dilakukan bersama pekerja kebun mitra Ciberes menggunakan lembar instruksi kerja standar satu halaman bergambar. Setelah sesi pengenalan selama maksimal 30 menit, pekerja diminta menjalankan sistem secara mandiri. Waktu keberhasilan dan kesalahan eksekusi dicatat, dengan syarat kelulusan pekerja mampu mengoperasikan sistem secara mandiri tanpa asistensi teknis.</w:t>
      </w:r>
    </w:p>
    <w:p>
      <w:pPr>
        <w:keepNext/>
        <w:spacing w:before="160" w:after="40" w:line="360" w:lineRule="auto"/>
        <w:ind w:firstLine="0"/>
        <w:jc w:val="both"/>
      </w:pPr>
      <w:r>
        <w:rPr>
          <w:rFonts w:ascii="Times New Roman" w:hAnsi="Times New Roman"/>
          <w:b/>
          <w:sz w:val="24"/>
        </w:rPr>
        <w:t>2. Uji Waktu Pemeliharaan Rutin Saringan</w:t>
      </w:r>
    </w:p>
    <w:p>
      <w:pPr>
        <w:spacing w:before="0" w:after="120" w:line="360" w:lineRule="auto"/>
        <w:ind w:firstLine="562"/>
        <w:jc w:val="both"/>
      </w:pPr>
      <w:r>
        <w:rPr>
          <w:rFonts w:ascii="Times New Roman" w:hAnsi="Times New Roman"/>
          <w:sz w:val="24"/>
        </w:rPr>
        <w:t>Uji pemeliharaan dilakukan melalui simulasi pembongkaran, pembersihan elemen saringan 120 mesh dengan air mengalir, dan pemasangan kembali menggunakan perkakas standar pertanian (obeng dan kunci pas). Seluruh tahapan prosedur pemeliharaan dicatat menggunakan stopwatch dan dinyatakan lulus apabila tuntas dalam waktu &lt;= 20 menit.</w:t>
      </w:r>
    </w:p>
    <w:p>
      <w:pPr>
        <w:keepNext/>
        <w:spacing w:before="280" w:after="120" w:line="360" w:lineRule="auto"/>
        <w:jc w:val="left"/>
      </w:pPr>
      <w:r>
        <w:rPr>
          <w:rFonts w:ascii="Times New Roman" w:hAnsi="Times New Roman"/>
          <w:b/>
          <w:sz w:val="24"/>
        </w:rPr>
        <w:t>1.4 Kesimpulan</w:t>
      </w:r>
    </w:p>
    <w:p>
      <w:pPr>
        <w:spacing w:before="0" w:after="120" w:line="360" w:lineRule="auto"/>
        <w:ind w:firstLine="562"/>
        <w:jc w:val="both"/>
      </w:pPr>
      <w:r>
        <w:rPr>
          <w:rFonts w:ascii="Times New Roman" w:hAnsi="Times New Roman"/>
          <w:sz w:val="24"/>
        </w:rPr>
        <w:t>Dokumen CD-2 ini telah menetapkan kerangka batasan rekayasa (engineering constraints) dan spesifikasi kuantitatif (engineering specifications) yang terdefinisi secara presisi, terukur, dan memiliki pijakan ilmiah yang kokoh bagi perancangan sistem irigasi kebun jeruk limau mitra di Ciberes, Subang.</w:t>
      </w:r>
    </w:p>
    <w:p>
      <w:pPr>
        <w:spacing w:before="0" w:after="120" w:line="360" w:lineRule="auto"/>
        <w:ind w:firstLine="562"/>
        <w:jc w:val="both"/>
      </w:pPr>
      <w:r>
        <w:rPr>
          <w:rFonts w:ascii="Times New Roman" w:hAnsi="Times New Roman"/>
          <w:sz w:val="24"/>
        </w:rPr>
        <w:t>Rangkuman poin penting dokumen CD-2 meliputi:</w:t>
      </w:r>
    </w:p>
    <w:p>
      <w:pPr>
        <w:keepNext/>
        <w:spacing w:before="160" w:after="40" w:line="360" w:lineRule="auto"/>
        <w:ind w:firstLine="0"/>
        <w:jc w:val="both"/>
      </w:pPr>
      <w:r>
        <w:rPr>
          <w:rFonts w:ascii="Times New Roman" w:hAnsi="Times New Roman"/>
          <w:b/>
          <w:sz w:val="24"/>
        </w:rPr>
        <w:t>1. Dasar Penentuan Spesifikasi Multi-Pilar</w:t>
      </w:r>
    </w:p>
    <w:p>
      <w:pPr>
        <w:spacing w:before="0" w:after="120" w:line="360" w:lineRule="auto"/>
        <w:ind w:firstLine="562"/>
        <w:jc w:val="both"/>
      </w:pPr>
      <w:r>
        <w:rPr>
          <w:rFonts w:ascii="Times New Roman" w:hAnsi="Times New Roman"/>
          <w:sz w:val="24"/>
        </w:rPr>
        <w:t>Perumusan spesifikasi tidak didasarkan pada asumsi subjektif, melainkan mengintegrasikan kebutuhan riil mitra kebun Ciberes (penurunan upah manual Rp400.000/kegiatan, keandalan pompa, suplai air teratur), regulasi pemerintah (Permen Pertanian No. 49/2014, SNI 7608:2010), standar teknik industri konsensus internasional (keseragaman air ASABE S398.1 &gt;= 85%, proteksi lingkungan IEC 60529 IP65, keselamatan tegangan rendah SELV &lt;= 48 V DC, otonomi surya IEC 62124), serta karakteristik agronomi tanaman jeruk limau (kebutuhan evapotranspirasi 10–15 L/pohon, kedalaman perakaran serabut aktif 20–40 cm, dan pencegahan busuk perakaran Phytophthora).</w:t>
      </w:r>
    </w:p>
    <w:p>
      <w:pPr>
        <w:keepNext/>
        <w:spacing w:before="160" w:after="40" w:line="360" w:lineRule="auto"/>
        <w:ind w:firstLine="0"/>
        <w:jc w:val="both"/>
      </w:pPr>
      <w:r>
        <w:rPr>
          <w:rFonts w:ascii="Times New Roman" w:hAnsi="Times New Roman"/>
          <w:b/>
          <w:sz w:val="24"/>
        </w:rPr>
        <w:t>2. Perumusan Spesifikasi Kuantitatif Multi-Aspek</w:t>
      </w:r>
    </w:p>
    <w:p>
      <w:pPr>
        <w:spacing w:before="0" w:after="120" w:line="360" w:lineRule="auto"/>
        <w:ind w:firstLine="562"/>
        <w:jc w:val="both"/>
      </w:pPr>
      <w:r>
        <w:rPr>
          <w:rFonts w:ascii="Times New Roman" w:hAnsi="Times New Roman"/>
          <w:sz w:val="24"/>
        </w:rPr>
        <w:t>Ditetapkan 5 batasan mutlak (hard constraints) dan 14 butir spesifikasi kuantitatif komprehensif yang mencakup aspek teknis (akurasi dosis air 15 L +- 5%, keseragaman CU &gt;= 85%, durasi siram &lt;= 4 jam, filtrasi 120 mesh, otonomi energi &gt;= 8 jam, rating IP65), aspek ekonomi (CAPEX &lt;= Rp18.000.000, OPEX &lt;= Rp50.000/siklus, payback period &lt;= 12–18 bulan), aspek lingkungan (efisiensi aplikasi air &gt;= 80%, bebas emisi lokal di area perakaran), serta aspek operasional mitra (waktu ajar operasi &lt;= 30 menit, waktu perawatan &lt;= 20 menit/bulan).</w:t>
      </w:r>
    </w:p>
    <w:p>
      <w:pPr>
        <w:keepNext/>
        <w:spacing w:before="160" w:after="40" w:line="360" w:lineRule="auto"/>
        <w:ind w:firstLine="0"/>
        <w:jc w:val="both"/>
      </w:pPr>
      <w:r>
        <w:rPr>
          <w:rFonts w:ascii="Times New Roman" w:hAnsi="Times New Roman"/>
          <w:b/>
          <w:sz w:val="24"/>
        </w:rPr>
        <w:t>3. Netralitas Solusi (Solution-Agnostic)</w:t>
      </w:r>
    </w:p>
    <w:p>
      <w:pPr>
        <w:spacing w:before="0" w:after="120" w:line="360" w:lineRule="auto"/>
        <w:ind w:firstLine="562"/>
        <w:jc w:val="both"/>
      </w:pPr>
      <w:r>
        <w:rPr>
          <w:rFonts w:ascii="Times New Roman" w:hAnsi="Times New Roman"/>
          <w:sz w:val="24"/>
        </w:rPr>
        <w:t>Spesifikasi dirumuskan secara fungsional tanpa bias atau penguncian dini pada satu opsi teknologi maupun merek komponen tertentu.</w:t>
      </w:r>
    </w:p>
    <w:p>
      <w:pPr>
        <w:keepNext/>
        <w:spacing w:before="160" w:after="40" w:line="360" w:lineRule="auto"/>
        <w:ind w:firstLine="0"/>
        <w:jc w:val="both"/>
      </w:pPr>
      <w:r>
        <w:rPr>
          <w:rFonts w:ascii="Times New Roman" w:hAnsi="Times New Roman"/>
          <w:b/>
          <w:sz w:val="24"/>
        </w:rPr>
        <w:t>4. Kesiapan Protokol Pengujian Terukur</w:t>
      </w:r>
    </w:p>
    <w:p>
      <w:pPr>
        <w:spacing w:before="0" w:after="120" w:line="360" w:lineRule="auto"/>
        <w:ind w:firstLine="562"/>
        <w:jc w:val="both"/>
      </w:pPr>
      <w:r>
        <w:rPr>
          <w:rFonts w:ascii="Times New Roman" w:hAnsi="Times New Roman"/>
          <w:sz w:val="24"/>
        </w:rPr>
        <w:t>Seluruh spesifikasi telah dipetakan ke dalam matriks rencana pengujian verifikasi yang memuat metode uji baku, instrumen alat ukur terkalibrasi, prosedur pengukuran langkah demi langkah, dan kriteria kelulusan numerik yang objektif.</w:t>
      </w:r>
    </w:p>
    <w:p>
      <w:pPr>
        <w:keepNext/>
        <w:spacing w:before="160" w:after="40" w:line="360" w:lineRule="auto"/>
        <w:ind w:firstLine="0"/>
        <w:jc w:val="both"/>
      </w:pPr>
      <w:r>
        <w:rPr>
          <w:rFonts w:ascii="Times New Roman" w:hAnsi="Times New Roman"/>
          <w:b/>
          <w:sz w:val="24"/>
        </w:rPr>
        <w:t>5. Transisi Menuju Tahap CD-3</w:t>
      </w:r>
    </w:p>
    <w:p>
      <w:pPr>
        <w:spacing w:before="0" w:after="120" w:line="360" w:lineRule="auto"/>
        <w:ind w:firstLine="562"/>
        <w:jc w:val="both"/>
      </w:pPr>
      <w:r>
        <w:rPr>
          <w:rFonts w:ascii="Times New Roman" w:hAnsi="Times New Roman"/>
          <w:sz w:val="24"/>
        </w:rPr>
        <w:t>Batasan dan spesifikasi kuantitatif dalam dokumen CD-2 ini secara formal menjadi tolok ukur acuan (benchmarking criteria) dan kriteria pembobotan (decision matrix criteria) dalam mengusulkan, menganalisis, dan memilih sekurang-kurangnya tiga alternatif konsep desain solusi pada dokumen rancangan solusi CD-3.</w:t>
      </w:r>
    </w:p>
    <w:p>
      <w:pPr>
        <w:keepNext/>
        <w:spacing w:before="360" w:after="240" w:line="360" w:lineRule="auto"/>
        <w:jc w:val="center"/>
      </w:pPr>
      <w:r>
        <w:rPr>
          <w:rFonts w:ascii="Times New Roman" w:hAnsi="Times New Roman"/>
          <w:b/>
          <w:sz w:val="28"/>
        </w:rPr>
        <w:t>Daftar Pustaka</w:t>
      </w:r>
    </w:p>
    <w:p>
      <w:pPr>
        <w:spacing w:before="0" w:after="80" w:line="276" w:lineRule="auto"/>
        <w:ind w:hanging="432" w:left="432"/>
        <w:jc w:val="both"/>
      </w:pPr>
      <w:r>
        <w:rPr>
          <w:rFonts w:ascii="Times New Roman" w:hAnsi="Times New Roman"/>
          <w:sz w:val="22"/>
        </w:rPr>
        <w:t>[1] R. G. Allen, L. S. Pereira, D. Raes, dan M. Smith, Crop Evapotranspiration: Guidelines for Computing Crop Water Requirements, FAO Irrigation and Drainage Paper 56. Roma, Italia: FAO, 1998.</w:t>
      </w:r>
    </w:p>
    <w:p>
      <w:pPr>
        <w:spacing w:before="0" w:after="80" w:line="276" w:lineRule="auto"/>
        <w:ind w:hanging="432" w:left="432"/>
        <w:jc w:val="both"/>
      </w:pPr>
      <w:r>
        <w:rPr>
          <w:rFonts w:ascii="Times New Roman" w:hAnsi="Times New Roman"/>
          <w:sz w:val="22"/>
        </w:rPr>
        <w:t>[2] ASABE Standards, Procedure for Sprinkler and Microirrigation Distribution Uniformity, Standard ASABE S398.1. St. Joseph, MI, AS: American Society of Agricultural and Biological Engineers, 2021.</w:t>
      </w:r>
    </w:p>
    <w:p>
      <w:pPr>
        <w:spacing w:before="0" w:after="80" w:line="276" w:lineRule="auto"/>
        <w:ind w:hanging="432" w:left="432"/>
        <w:jc w:val="both"/>
      </w:pPr>
      <w:r>
        <w:rPr>
          <w:rFonts w:ascii="Times New Roman" w:hAnsi="Times New Roman"/>
          <w:sz w:val="22"/>
        </w:rPr>
        <w:t>[3] ASABE Standards, Design and Installation of Microirrigation Systems, Standard ASABE EP405.1. St. Joseph, MI, AS: American Society of Agricultural and Biological Engineers, 2019.</w:t>
      </w:r>
    </w:p>
    <w:p>
      <w:pPr>
        <w:spacing w:before="0" w:after="80" w:line="276" w:lineRule="auto"/>
        <w:ind w:hanging="432" w:left="432"/>
        <w:jc w:val="both"/>
      </w:pPr>
      <w:r>
        <w:rPr>
          <w:rFonts w:ascii="Times New Roman" w:hAnsi="Times New Roman"/>
          <w:sz w:val="22"/>
        </w:rPr>
        <w:t>[4] International Electrotechnical Commission, Degrees of Protection Provided by Enclosures (IP Code), Standard IEC 60529:1989+AMD1:1999+AMD2:2013. Jenewa, Swiss: IEC, 2013.</w:t>
      </w:r>
    </w:p>
    <w:p>
      <w:pPr>
        <w:spacing w:before="0" w:after="80" w:line="276" w:lineRule="auto"/>
        <w:ind w:hanging="432" w:left="432"/>
        <w:jc w:val="both"/>
      </w:pPr>
      <w:r>
        <w:rPr>
          <w:rFonts w:ascii="Times New Roman" w:hAnsi="Times New Roman"/>
          <w:sz w:val="22"/>
        </w:rPr>
        <w:t>[5] Badan Standardisasi Nasional, Derajat Proteksi yang Diberikan oleh Selungkup (Kode IP), SNI IEC 60529:2014. Jakarta, Indonesia: BSN, 2014.</w:t>
      </w:r>
    </w:p>
    <w:p>
      <w:pPr>
        <w:spacing w:before="0" w:after="80" w:line="276" w:lineRule="auto"/>
        <w:ind w:hanging="432" w:left="432"/>
        <w:jc w:val="both"/>
      </w:pPr>
      <w:r>
        <w:rPr>
          <w:rFonts w:ascii="Times New Roman" w:hAnsi="Times New Roman"/>
          <w:sz w:val="22"/>
        </w:rPr>
        <w:t>[6] Kementerian Pertanian Republik Indonesia, Pedoman Teknis Pengembangan Tata Air Pertanian, Peraturan Menteri Pertanian No. 49/Permentan/OT.140/4/2014. Jakarta, Indonesia: Kementan RI, 2014.</w:t>
      </w:r>
    </w:p>
    <w:p>
      <w:pPr>
        <w:spacing w:before="0" w:after="80" w:line="276" w:lineRule="auto"/>
        <w:ind w:hanging="432" w:left="432"/>
        <w:jc w:val="both"/>
      </w:pPr>
      <w:r>
        <w:rPr>
          <w:rFonts w:ascii="Times New Roman" w:hAnsi="Times New Roman"/>
          <w:sz w:val="22"/>
        </w:rPr>
        <w:t>[7] Badan Standardisasi Nasional, Jaringan Irigasi Air Tanah Dangkal, SNI 7608:2010. Jakarta, Indonesia: BSN, 2010.</w:t>
      </w:r>
    </w:p>
    <w:p>
      <w:pPr>
        <w:spacing w:before="0" w:after="80" w:line="276" w:lineRule="auto"/>
        <w:ind w:hanging="432" w:left="432"/>
        <w:jc w:val="both"/>
      </w:pPr>
      <w:r>
        <w:rPr>
          <w:rFonts w:ascii="Times New Roman" w:hAnsi="Times New Roman"/>
          <w:sz w:val="22"/>
        </w:rPr>
        <w:t>[8] International Electrotechnical Commission, Photovoltaic Stand-Alone Systems: Design Verification, Standard IEC 62124:2004. Jenewa, Swiss: IEC, 2004.</w:t>
      </w:r>
    </w:p>
    <w:p>
      <w:pPr>
        <w:spacing w:before="0" w:after="80" w:line="276" w:lineRule="auto"/>
        <w:ind w:hanging="432" w:left="432"/>
        <w:jc w:val="both"/>
      </w:pPr>
      <w:r>
        <w:rPr>
          <w:rFonts w:ascii="Times New Roman" w:hAnsi="Times New Roman"/>
          <w:sz w:val="22"/>
        </w:rPr>
        <w:t>[9] International Electrotechnical Commission, Low-voltage electrical installations - Part 4-41: Protection for safety - Protection against electric shock (Safety Extra-Low Voltage), Standard IEC 60364-4-41. Jenewa, Swiss: IEC, 2017.</w:t>
      </w:r>
    </w:p>
    <w:p>
      <w:pPr>
        <w:spacing w:before="0" w:after="80" w:line="276" w:lineRule="auto"/>
        <w:ind w:hanging="432" w:left="432"/>
        <w:jc w:val="both"/>
      </w:pPr>
      <w:r>
        <w:rPr>
          <w:rFonts w:ascii="Times New Roman" w:hAnsi="Times New Roman"/>
          <w:sz w:val="22"/>
        </w:rPr>
        <w:t>[10] IEEE Standards Association, IEEE Standard for a Smart Transducer Interface for Sensors and Actuators, IEEE Std 1451.4-2004. New York, NY, AS: IEEE, 2004.</w:t>
      </w:r>
    </w:p>
    <w:p>
      <w:pPr>
        <w:spacing w:before="0" w:after="80" w:line="276" w:lineRule="auto"/>
        <w:ind w:hanging="432" w:left="432"/>
        <w:jc w:val="both"/>
      </w:pPr>
      <w:r>
        <w:rPr>
          <w:rFonts w:ascii="Times New Roman" w:hAnsi="Times New Roman"/>
          <w:sz w:val="22"/>
        </w:rPr>
        <w:t>[11] P. Panigrahi dan A. K. Srivastava, “Water and nutrient management effects on water use and yield of drip irrigated citrus in vertisol under a sub-humid region,” Journal of Integrative Agriculture, vol. 16, no. 5, hlm. 1184–1194, 2017, doi: 10.1016/S2095-3119(16)61500-9.</w:t>
      </w:r>
    </w:p>
    <w:p>
      <w:pPr>
        <w:spacing w:before="0" w:after="80" w:line="276" w:lineRule="auto"/>
        <w:ind w:hanging="432" w:left="432"/>
        <w:jc w:val="both"/>
      </w:pPr>
      <w:r>
        <w:rPr>
          <w:rFonts w:ascii="Times New Roman" w:hAnsi="Times New Roman"/>
          <w:sz w:val="22"/>
        </w:rPr>
        <w:t>[12] R. S. Ayers dan D. W. Westcot, Water Quality for Agriculture, FAO Irrigation and Drainage Paper 29 Rev. 1. Roma, Italia: FAO, 1985.</w:t>
      </w:r>
    </w:p>
    <w:p>
      <w:pPr>
        <w:spacing w:before="0" w:after="80" w:line="276" w:lineRule="auto"/>
        <w:ind w:hanging="432" w:left="432"/>
        <w:jc w:val="both"/>
      </w:pPr>
      <w:r>
        <w:rPr>
          <w:rFonts w:ascii="Times New Roman" w:hAnsi="Times New Roman"/>
          <w:sz w:val="22"/>
        </w:rPr>
        <w:t>[13] S. Bounoua dkk., “Understanding physical clogging in drip irrigation: In situ, in-lab and numerical approaches,” Irrigation Science, vol. 34, hlm. 327–342, 2016, doi: 10.1007/s00271-016-0506-8.</w:t>
      </w:r>
    </w:p>
    <w:p>
      <w:pPr>
        <w:spacing w:before="0" w:after="80" w:line="276" w:lineRule="auto"/>
        <w:ind w:hanging="432" w:left="432"/>
        <w:jc w:val="both"/>
      </w:pPr>
      <w:r>
        <w:rPr>
          <w:rFonts w:ascii="Times New Roman" w:hAnsi="Times New Roman"/>
          <w:sz w:val="22"/>
        </w:rPr>
        <w:t>[14] Y. Shen, J. Puig-Bargués, M. Li, Y. Xiao, Q. Li, dan Y. Li, “Physical, chemical and biological emitter clogging behaviors in drip irrigation systems using high-sediment loaded water,” Agricultural Water Management, vol. 270, art. 107738, 2022, doi: 10.1016/j.agwat.2022.107738.</w:t>
      </w:r>
    </w:p>
    <w:p>
      <w:pPr>
        <w:spacing w:before="0" w:after="80" w:line="276" w:lineRule="auto"/>
        <w:ind w:hanging="432" w:left="432"/>
        <w:jc w:val="both"/>
      </w:pPr>
      <w:r>
        <w:rPr>
          <w:rFonts w:ascii="Times New Roman" w:hAnsi="Times New Roman"/>
          <w:sz w:val="22"/>
        </w:rPr>
        <w:t>[15] R. Budiarto, R. Poerwanto, E. Santosa, dan D. Efendi, “The Potentials of Limau (Citrus amblycarpa Hassk. Ochse) as A Functional Food and Ornamental Mini Tree Based on Metabolomic and Morphological Approaches,” Journal of Tropical Crop Science, vol. 4, no. 2, hlm. 49–57, 2017, doi: 10.29244/jtcs.4.2.49-57.</w:t>
      </w:r>
    </w:p>
    <w:p>
      <w:pPr>
        <w:spacing w:before="0" w:after="80" w:line="276" w:lineRule="auto"/>
        <w:ind w:hanging="432" w:left="432"/>
        <w:jc w:val="both"/>
      </w:pPr>
      <w:r>
        <w:rPr>
          <w:rFonts w:ascii="Times New Roman" w:hAnsi="Times New Roman"/>
          <w:sz w:val="22"/>
        </w:rPr>
        <w:t>[16] D. M. Kadyampakeni dkk., 2026–2029 Florida Citrus Production Guide: Irrigation Management of Citrus Trees, University of Florida IFAS Extension, Publ. CPG12/CG093, 2026.</w:t>
      </w:r>
    </w:p>
    <w:p>
      <w:pPr>
        <w:spacing w:before="0" w:after="80" w:line="276" w:lineRule="auto"/>
        <w:ind w:hanging="432" w:left="432"/>
        <w:jc w:val="both"/>
      </w:pPr>
      <w:r>
        <w:rPr>
          <w:rFonts w:ascii="Times New Roman" w:hAnsi="Times New Roman"/>
          <w:sz w:val="22"/>
        </w:rPr>
        <w:t>[17] J. H. Graham dan L. W. Timmer, Phytophthora Diseases of Citrus, University of Florida IFAS Extension, Publ. PP-31, 2020.</w:t>
      </w:r>
    </w:p>
    <w:p>
      <w:pPr>
        <w:spacing w:before="0" w:after="80" w:line="276" w:lineRule="auto"/>
        <w:ind w:hanging="432" w:left="432"/>
        <w:jc w:val="both"/>
      </w:pPr>
      <w:r>
        <w:rPr>
          <w:rFonts w:ascii="Times New Roman" w:hAnsi="Times New Roman"/>
          <w:sz w:val="22"/>
        </w:rPr>
        <w:t>[18] A. G. Smajstrla, B. J. Boman, D. Z. Haman, D. J. Pitts, dan F. S. Zazueta, Field Evaluation of Microirrigation Water Application Uniformity, University of Florida IFAS Extension, Publ. BUL265/AE094, 2021.</w:t>
      </w:r>
    </w:p>
    <w:p>
      <w:pPr>
        <w:spacing w:before="0" w:after="80" w:line="276" w:lineRule="auto"/>
        <w:ind w:hanging="432" w:left="432"/>
        <w:jc w:val="both"/>
      </w:pPr>
      <w:r>
        <w:rPr>
          <w:rFonts w:ascii="Times New Roman" w:hAnsi="Times New Roman"/>
          <w:sz w:val="22"/>
        </w:rPr>
        <w:t>[19] T. Obreza, M. Zekri, dan S. H. Futch, Nutrition of Florida Citrus Trees, 3rd Edition: Chapter 3. General Soil Fertility and Citrus Tree Nutrition, University of Florida IFAS Extension, Publ. SL457/SS670, 2020.</w:t>
      </w:r>
    </w:p>
    <w:p>
      <w:pPr>
        <w:spacing w:before="0" w:after="80" w:line="276" w:lineRule="auto"/>
        <w:ind w:hanging="432" w:left="432"/>
        <w:jc w:val="both"/>
      </w:pPr>
      <w:r>
        <w:rPr>
          <w:rFonts w:ascii="Times New Roman" w:hAnsi="Times New Roman"/>
          <w:sz w:val="22"/>
        </w:rPr>
        <w:t>[20] G. Li, X. Li, dan Q. Zeng, “Development of automatic irrigation and soil moisture monitoring system based on solar energy in citrus orchard,” Transactions of the Chinese Society of Agricultural Engineering, vol. 28, no. 12, hlm. 146–152, 2012.</w:t>
      </w:r>
    </w:p>
    <w:p>
      <w:pPr>
        <w:spacing w:before="0" w:after="80" w:line="276" w:lineRule="auto"/>
        <w:ind w:hanging="432" w:left="432"/>
        <w:jc w:val="both"/>
      </w:pPr>
      <w:r>
        <w:rPr>
          <w:rFonts w:ascii="Times New Roman" w:hAnsi="Times New Roman"/>
          <w:sz w:val="22"/>
        </w:rPr>
        <w:t>[21] J. M. Domínguez-Niño, H. R. Bogena, J. A. Huisman, B. Schilling, dan J. Casadesús, “On the accuracy of factory-calibrated low-cost soil water content sensors,” Sensors, vol. 19, no. 14, art. 3101, 2019, doi: 10.3390/s19143101.</w:t>
      </w:r>
    </w:p>
    <w:p>
      <w:pPr>
        <w:spacing w:before="0" w:after="80" w:line="276" w:lineRule="auto"/>
        <w:ind w:hanging="432" w:left="432"/>
        <w:jc w:val="both"/>
      </w:pPr>
      <w:r>
        <w:rPr>
          <w:rFonts w:ascii="Times New Roman" w:hAnsi="Times New Roman"/>
          <w:sz w:val="22"/>
        </w:rPr>
        <w:t>[22] Mitra dan Tim Proyek, “Transkrip Wawancara Kebun Jeruk Limau Audio 1 Ciberes Subang,” dokumentasi primer tidak diterbitkan, dihimpun Oktober 2026.</w:t>
      </w:r>
    </w:p>
    <w:p>
      <w:pPr>
        <w:keepNext/>
        <w:spacing w:before="360" w:after="240" w:line="360" w:lineRule="auto"/>
        <w:jc w:val="center"/>
      </w:pPr>
      <w:r>
        <w:rPr>
          <w:rFonts w:ascii="Times New Roman" w:hAnsi="Times New Roman"/>
          <w:b/>
          <w:sz w:val="28"/>
        </w:rPr>
        <w:t>Lampiran: Ringkasan Transkrip Wawancara Mitra Lapangan (Audio 1 Ciberes)</w:t>
      </w:r>
    </w:p>
    <w:p>
      <w:pPr>
        <w:spacing w:before="0" w:after="120" w:line="360" w:lineRule="auto"/>
        <w:ind w:firstLine="562"/>
        <w:jc w:val="both"/>
      </w:pPr>
      <w:r>
        <w:rPr>
          <w:rFonts w:ascii="Times New Roman" w:hAnsi="Times New Roman"/>
          <w:sz w:val="24"/>
        </w:rPr>
        <w:t>Catatan Bukti Kebutuhan Pengguna: Berdasarkan rekaman Audio 1 wawancara langsung bersama pengelola kebun jeruk limau di Desa Ciberes, Kecamatan Patokbeusi, Kabupaten Subang, Jawa Barat:</w:t>
      </w:r>
    </w:p>
    <w:p>
      <w:pPr>
        <w:keepNext/>
        <w:spacing w:before="160" w:after="40" w:line="360" w:lineRule="auto"/>
        <w:ind w:firstLine="0"/>
        <w:jc w:val="both"/>
      </w:pPr>
      <w:r>
        <w:rPr>
          <w:rFonts w:ascii="Times New Roman" w:hAnsi="Times New Roman"/>
          <w:b/>
          <w:sz w:val="24"/>
        </w:rPr>
        <w:t>1. Populasi Tanaman Jeruk Limau</w:t>
      </w:r>
    </w:p>
    <w:p>
      <w:pPr>
        <w:spacing w:before="0" w:after="120" w:line="360" w:lineRule="auto"/>
        <w:ind w:firstLine="562"/>
        <w:jc w:val="both"/>
      </w:pPr>
      <w:r>
        <w:rPr>
          <w:rFonts w:ascii="Times New Roman" w:hAnsi="Times New Roman"/>
          <w:sz w:val="24"/>
        </w:rPr>
        <w:t>Lahan ditanami pohon jeruk limau dengan estimasi populasi sekitar 500 hingga 600 pohon, dengan rata-rata tinggi tajuk pohon saat ini berkisar +- 1 meter.</w:t>
      </w:r>
    </w:p>
    <w:p>
      <w:pPr>
        <w:keepNext/>
        <w:spacing w:before="160" w:after="40" w:line="360" w:lineRule="auto"/>
        <w:ind w:firstLine="0"/>
        <w:jc w:val="both"/>
      </w:pPr>
      <w:r>
        <w:rPr>
          <w:rFonts w:ascii="Times New Roman" w:hAnsi="Times New Roman"/>
          <w:b/>
          <w:sz w:val="24"/>
        </w:rPr>
        <w:t>2. Topografi dan Saluran Parit Galian</w:t>
      </w:r>
    </w:p>
    <w:p>
      <w:pPr>
        <w:spacing w:before="0" w:after="120" w:line="360" w:lineRule="auto"/>
        <w:ind w:firstLine="562"/>
        <w:jc w:val="both"/>
      </w:pPr>
      <w:r>
        <w:rPr>
          <w:rFonts w:ascii="Times New Roman" w:hAnsi="Times New Roman"/>
          <w:sz w:val="24"/>
        </w:rPr>
        <w:t>Lahan memiliki 3 lajur parit tanah memanjang dengan panjang masing-masing sekitar 100 meter dan terdapat parit melintang penghubung. Parit dibuat dengan biaya hemat untuk mendekatkan air ke barisan pohon.</w:t>
      </w:r>
    </w:p>
    <w:p>
      <w:pPr>
        <w:keepNext/>
        <w:spacing w:before="160" w:after="40" w:line="360" w:lineRule="auto"/>
        <w:ind w:firstLine="0"/>
        <w:jc w:val="both"/>
      </w:pPr>
      <w:r>
        <w:rPr>
          <w:rFonts w:ascii="Times New Roman" w:hAnsi="Times New Roman"/>
          <w:b/>
          <w:sz w:val="24"/>
        </w:rPr>
        <w:t>3. Sumber Suplai Air dan Pompa Mesin</w:t>
      </w:r>
    </w:p>
    <w:p>
      <w:pPr>
        <w:spacing w:before="0" w:after="120" w:line="360" w:lineRule="auto"/>
        <w:ind w:firstLine="562"/>
        <w:jc w:val="both"/>
      </w:pPr>
      <w:r>
        <w:rPr>
          <w:rFonts w:ascii="Times New Roman" w:hAnsi="Times New Roman"/>
          <w:sz w:val="24"/>
        </w:rPr>
        <w:t>Air diambil dari aliran sungai/saluran irigasi yang berjarak sekitar 20,54 meter dari batas kebun. Pompa yang digunakan adalah pompa mesin bensin Alkon (Pertalite). Mitra sempat mencoba memodifikasi bahan bakar menggunakan gas LPG 3 kg untuk menghemat biaya, namun dihentikan karena mesin mengalami panas berlebih (overheat).</w:t>
      </w:r>
    </w:p>
    <w:p>
      <w:pPr>
        <w:keepNext/>
        <w:spacing w:before="160" w:after="40" w:line="360" w:lineRule="auto"/>
        <w:ind w:firstLine="0"/>
        <w:jc w:val="both"/>
      </w:pPr>
      <w:r>
        <w:rPr>
          <w:rFonts w:ascii="Times New Roman" w:hAnsi="Times New Roman"/>
          <w:b/>
          <w:sz w:val="24"/>
        </w:rPr>
        <w:t>4. Ketiadaan Akses Jaringan Listrik PLN</w:t>
      </w:r>
    </w:p>
    <w:p>
      <w:pPr>
        <w:spacing w:before="0" w:after="120" w:line="360" w:lineRule="auto"/>
        <w:ind w:firstLine="562"/>
        <w:jc w:val="both"/>
      </w:pPr>
      <w:r>
        <w:rPr>
          <w:rFonts w:ascii="Times New Roman" w:hAnsi="Times New Roman"/>
          <w:sz w:val="24"/>
        </w:rPr>
        <w:t>Lokasi kebun berada di area sawah/kebun terbuka yang belum terjangkau instalasi tiang listrik tegangan rendah PLN.</w:t>
      </w:r>
    </w:p>
    <w:p>
      <w:pPr>
        <w:keepNext/>
        <w:spacing w:before="160" w:after="40" w:line="360" w:lineRule="auto"/>
        <w:ind w:firstLine="0"/>
        <w:jc w:val="both"/>
      </w:pPr>
      <w:r>
        <w:rPr>
          <w:rFonts w:ascii="Times New Roman" w:hAnsi="Times New Roman"/>
          <w:b/>
          <w:sz w:val="24"/>
        </w:rPr>
        <w:t>5. Praktik Penyiraman Eksisting dan Beban Tenaga Kerja</w:t>
      </w:r>
    </w:p>
    <w:p>
      <w:pPr>
        <w:spacing w:before="0" w:after="120" w:line="360" w:lineRule="auto"/>
        <w:ind w:firstLine="562"/>
        <w:jc w:val="both"/>
      </w:pPr>
      <w:r>
        <w:rPr>
          <w:rFonts w:ascii="Times New Roman" w:hAnsi="Times New Roman"/>
          <w:sz w:val="24"/>
        </w:rPr>
        <w:t>Air sungai disedot ke dalam parit, kemudian disiramkan ke tanaman secara manual oleh 4 orang pekerja harian lepas menggunakan timba ember kecil.</w:t>
      </w:r>
    </w:p>
    <w:p>
      <w:pPr>
        <w:keepNext/>
        <w:spacing w:before="160" w:after="40" w:line="360" w:lineRule="auto"/>
        <w:ind w:firstLine="0"/>
        <w:jc w:val="both"/>
      </w:pPr>
      <w:r>
        <w:rPr>
          <w:rFonts w:ascii="Times New Roman" w:hAnsi="Times New Roman"/>
          <w:b/>
          <w:sz w:val="24"/>
        </w:rPr>
        <w:t>6. Struktur Biaya Upah Tenaga Kerja</w:t>
      </w:r>
    </w:p>
    <w:p>
      <w:pPr>
        <w:spacing w:before="0" w:after="120" w:line="360" w:lineRule="auto"/>
        <w:ind w:firstLine="562"/>
        <w:jc w:val="both"/>
      </w:pPr>
      <w:r>
        <w:rPr>
          <w:rFonts w:ascii="Times New Roman" w:hAnsi="Times New Roman"/>
          <w:sz w:val="24"/>
        </w:rPr>
        <w:t>Upah pekerja adalah Rp100.000 per orang per hari kerja. Total pengeluaran per satu kali kegiatan penyiraman adalah Rp400.000 (4 orang x Rp100.000). Penyiraman dilakukan rutin rata-rata 3 hari sekali pada musim kemarau.</w:t>
      </w:r>
    </w:p>
    <w:p>
      <w:pPr>
        <w:keepNext/>
        <w:spacing w:before="160" w:after="40" w:line="360" w:lineRule="auto"/>
        <w:ind w:firstLine="0"/>
        <w:jc w:val="both"/>
      </w:pPr>
      <w:r>
        <w:rPr>
          <w:rFonts w:ascii="Times New Roman" w:hAnsi="Times New Roman"/>
          <w:b/>
          <w:sz w:val="24"/>
        </w:rPr>
        <w:t>7. Dosis Air Berdasarkan Kebiasaan Praktis Petani</w:t>
      </w:r>
    </w:p>
    <w:p>
      <w:pPr>
        <w:spacing w:before="0" w:after="120" w:line="360" w:lineRule="auto"/>
        <w:ind w:firstLine="562"/>
        <w:jc w:val="both"/>
      </w:pPr>
      <w:r>
        <w:rPr>
          <w:rFonts w:ascii="Times New Roman" w:hAnsi="Times New Roman"/>
          <w:sz w:val="24"/>
        </w:rPr>
        <w:t>Petani memperkirakan rata-rata satu pohon menerima sekitar 10 hingga 15 Liter air per kali siram, namun volume aktual per pohon tidak pernah ditakar secara presisi.</w:t>
      </w:r>
    </w:p>
    <w:p>
      <w:pPr>
        <w:keepNext/>
        <w:spacing w:before="160" w:after="40" w:line="360" w:lineRule="auto"/>
        <w:ind w:firstLine="0"/>
        <w:jc w:val="both"/>
      </w:pPr>
      <w:r>
        <w:rPr>
          <w:rFonts w:ascii="Times New Roman" w:hAnsi="Times New Roman"/>
          <w:b/>
          <w:sz w:val="24"/>
        </w:rPr>
        <w:t>8. Ekspektasi dan Kebutuhan Solusi Otomasi</w:t>
      </w:r>
    </w:p>
    <w:p>
      <w:pPr>
        <w:spacing w:before="0" w:after="120" w:line="360" w:lineRule="auto"/>
        <w:ind w:firstLine="562"/>
        <w:jc w:val="both"/>
      </w:pPr>
      <w:r>
        <w:rPr>
          <w:rFonts w:ascii="Times New Roman" w:hAnsi="Times New Roman"/>
          <w:sz w:val="24"/>
        </w:rPr>
        <w:t>Pengelola menginginkan adanya alat atau sistem otomatis/mekanis yang mampu menggantikan pekerjaan guyur manual tersebut agar pengeluaran upah tenaga kerja dapat dipangkas drastis, serta pasokan air ke pohon menjadi lebih teratur dan terjamin.</w:t>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-294639</wp:posOffset>
          </wp:positionV>
          <wp:extent cx="7553325" cy="1031240"/>
          <wp:effectExtent b="0" l="0" r="0" t="0"/>
          <wp:wrapNone/>
          <wp:docPr descr="A picture containing text&#10;&#10;Description automatically generated" id="1" name="image1.png"/>
          <a:graphic>
            <a:graphicData uri="http://schemas.openxmlformats.org/drawingml/2006/picture">
              <pic:pic>
                <pic:nvPicPr>
                  <pic:cNvPr descr="A picture containing text&#10;&#10;Description automatically generated" id="0" name="image1.png"/>
                  <pic:cNvPicPr preferRelativeResize="0"/>
                </pic:nvPicPr>
                <pic:blipFill>
                  <a:blip r:embed="rId1"/>
                  <a:srcRect b="0" l="0" r="0" t="0"/>
                  <a:stretch>
                    <a:fillRect/>
                  </a:stretch>
                </pic:blipFill>
                <pic:spPr>
                  <a:xfrm>
                    <a:off x="0" y="0"/>
                    <a:ext cx="7553325" cy="10312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jc w:val="left"/>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