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1019175</wp:posOffset>
                </wp:positionV>
                <wp:extent cx="3074475" cy="4270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1775" y="1352100"/>
                          <a:ext cx="135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1533525</wp:posOffset>
                </wp:positionH>
                <wp:positionV relativeFrom="paragraph">
                  <wp:posOffset>1019175</wp:posOffset>
                </wp:positionV>
                <wp:extent cx="3074475" cy="42701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4475" cy="4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margin" w:horzAnchor="margin" w:tblpX="18.070866141732225" w:tblpY="1788.0708661417325"/>
        <w:tblW w:w="7350.0" w:type="dxa"/>
        <w:jc w:val="left"/>
        <w:tblLayout w:type="fixed"/>
        <w:tblLook w:val="0600"/>
      </w:tblPr>
      <w:tblGrid>
        <w:gridCol w:w="4665"/>
        <w:gridCol w:w="2685"/>
        <w:tblGridChange w:id="0">
          <w:tblGrid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CV SUMBER REZEKI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JL Kapuak Muara Blok KK No.59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Komp. Duta Harapan Indah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Jakarta Utara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CV. PUTRA MANDIRI EXP.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JL Sidotopo Lor No. 40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Telp. (031) 37308810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0821 6664 7853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6"/>
                <w:szCs w:val="16"/>
                <w:rtl w:val="0"/>
              </w:rPr>
              <w:t xml:space="preserve">Surabaya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color w:val="4a86e8"/>
          <w:u w:val="single"/>
        </w:rPr>
      </w:pPr>
      <w:r w:rsidDel="00000000" w:rsidR="00000000" w:rsidRPr="00000000">
        <w:rPr>
          <w:b w:val="1"/>
          <w:color w:val="4a86e8"/>
          <w:u w:val="single"/>
          <w:rtl w:val="0"/>
        </w:rPr>
        <w:t xml:space="preserve">TANDA TERIMA BARANG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287200</wp:posOffset>
                </wp:positionV>
                <wp:extent cx="4683488" cy="3122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175" y="1372400"/>
                          <a:ext cx="28422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287200</wp:posOffset>
                </wp:positionV>
                <wp:extent cx="4683488" cy="312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3488" cy="312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pPr w:leftFromText="180" w:rightFromText="180" w:topFromText="180" w:bottomFromText="0" w:vertAnchor="margin" w:horzAnchor="margin" w:tblpX="17.007874015748072" w:tblpY="-136.0629921259843"/>
        <w:tblW w:w="7335.0" w:type="dxa"/>
        <w:jc w:val="center"/>
        <w:tblInd w:w="-75.0" w:type="dxa"/>
        <w:tblLayout w:type="fixed"/>
        <w:tblLook w:val="0600"/>
      </w:tblPr>
      <w:tblGrid>
        <w:gridCol w:w="2415"/>
        <w:gridCol w:w="4920"/>
        <w:tblGridChange w:id="0">
          <w:tblGrid>
            <w:gridCol w:w="2415"/>
            <w:gridCol w:w="4920"/>
          </w:tblGrid>
        </w:tblGridChange>
      </w:tblGrid>
      <w:tr>
        <w:trPr>
          <w:cantSplit w:val="0"/>
          <w:trHeight w:val="497.196850393700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4000" cy="1012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000" cy="101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CV. PUTRA MANDIRI EXPRESS</w:t>
            </w:r>
          </w:p>
        </w:tc>
      </w:tr>
      <w:tr>
        <w:trPr>
          <w:cantSplit w:val="0"/>
          <w:trHeight w:val="497.196850393700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86e8"/>
                <w:sz w:val="18"/>
                <w:szCs w:val="18"/>
                <w:rtl w:val="0"/>
              </w:rPr>
              <w:t xml:space="preserve">Jl. Cemara No. 98 / 214 Telp. (061) 6610845, Flexi : (061) 77813728 Fax. (061) 66110845 - 20239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59.0" w:type="dxa"/>
        <w:jc w:val="left"/>
        <w:tblLayout w:type="fixed"/>
        <w:tblLook w:val="0600"/>
      </w:tblPr>
      <w:tblGrid>
        <w:gridCol w:w="3629.5"/>
        <w:gridCol w:w="3629.5"/>
        <w:tblGridChange w:id="0">
          <w:tblGrid>
            <w:gridCol w:w="3629.5"/>
            <w:gridCol w:w="362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PENGIRIM: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u w:val="single"/>
                <w:rtl w:val="0"/>
              </w:rPr>
              <w:t xml:space="preserve">PENERIMA: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.98046874999972" w:hRule="atLeast"/>
          <w:tblHeader w:val="0"/>
        </w:trPr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{{sender}}</w:t>
            </w:r>
          </w:p>
        </w:tc>
        <w:tc>
          <w:tcPr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{{recipient}}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Borders>
          <w:top w:color="4a86e8" w:space="0" w:sz="8" w:val="single"/>
          <w:left w:color="4a86e8" w:space="0" w:sz="8" w:val="single"/>
          <w:bottom w:color="4a86e8" w:space="0" w:sz="8" w:val="single"/>
          <w:right w:color="4a86e8" w:space="0" w:sz="8" w:val="single"/>
          <w:insideH w:color="4a86e8" w:space="0" w:sz="8" w:val="single"/>
          <w:insideV w:color="4a86e8" w:space="0" w:sz="8" w:val="single"/>
        </w:tblBorders>
        <w:tblLayout w:type="fixed"/>
        <w:tblLook w:val="0600"/>
      </w:tblPr>
      <w:tblGrid>
        <w:gridCol w:w="990"/>
        <w:gridCol w:w="885"/>
        <w:gridCol w:w="1170"/>
        <w:gridCol w:w="2445"/>
        <w:gridCol w:w="1710"/>
        <w:tblGridChange w:id="0">
          <w:tblGrid>
            <w:gridCol w:w="990"/>
            <w:gridCol w:w="885"/>
            <w:gridCol w:w="1170"/>
            <w:gridCol w:w="2445"/>
            <w:gridCol w:w="171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Banyak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Satuan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Berat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NAMA BARANG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Keterangan</w:t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{{qty}}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{{stn}}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{{weight}}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{{name}}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{{prd_desc}}</w:t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Ongkos Angkut</w:t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  <w:sz w:val="16"/>
                <w:szCs w:val="16"/>
              </w:rPr>
            </w:pPr>
            <w:r w:rsidDel="00000000" w:rsidR="00000000" w:rsidRPr="00000000">
              <w:rPr>
                <w:color w:val="4a86e8"/>
                <w:sz w:val="16"/>
                <w:szCs w:val="16"/>
                <w:rtl w:val="0"/>
              </w:rPr>
              <w:t xml:space="preserve">Rp.{{price}}</w:t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8976377952756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left w:color="000000" w:space="0" w:sz="0" w:val="nil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Terbilang: {{price_words}}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5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419.6666666666665"/>
        <w:gridCol w:w="2419.6666666666665"/>
        <w:gridCol w:w="2419.6666666666665"/>
        <w:tblGridChange w:id="0">
          <w:tblGrid>
            <w:gridCol w:w="2419.6666666666665"/>
            <w:gridCol w:w="2419.6666666666665"/>
            <w:gridCol w:w="241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Penerima PUMEX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Disetujui Pengirim</w:t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Ket. Penagihan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4a86e8" w:space="0" w:sz="12" w:val="single"/>
            </w:tcBorders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{{sender}}</w:t>
            </w:r>
          </w:p>
        </w:tc>
        <w:tc>
          <w:tcPr>
            <w:tcBorders>
              <w:bottom w:color="4a86e8" w:space="0" w:sz="12" w:val="single"/>
            </w:tcBorders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{{recipient}}</w:t>
            </w:r>
          </w:p>
        </w:tc>
        <w:tc>
          <w:tcPr>
            <w:tcBorders>
              <w:bottom w:color="4a86e8" w:space="0" w:sz="12" w:val="single"/>
            </w:tcBorders>
            <w:shd w:fill="auto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{{description}}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130175</wp:posOffset>
                </wp:positionV>
                <wp:extent cx="1863617" cy="901750"/>
                <wp:effectExtent b="12700" l="12700" r="12700" t="127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1443475" y="1199850"/>
                          <a:ext cx="3451200" cy="16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Keterangan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1.Barang Barang yang kami terima tidak diperiksa isinya kami tidak mengganti kerugian hilang / rusak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2.Kami tidak mengganti kerugian: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Apabila dalam keadaan force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majeure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, kebakaran, perampok dan kejadian lain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Barang hilang/rusak yang disebabkan perpacking /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pembungkusan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  tidak baik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Kiriman barang yang mudah pecah, lekas bungkus dan mudah terbakar / menguap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130175</wp:posOffset>
                </wp:positionV>
                <wp:extent cx="1863617" cy="901750"/>
                <wp:effectExtent b="12700" l="12700" r="12700" t="127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617" cy="901750"/>
                        </a:xfrm>
                        <a:prstGeom prst="rect"/>
                        <a:ln w="12700">
                          <a:solidFill>
                            <a:srgbClr val="4A86E8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136525</wp:posOffset>
                </wp:positionV>
                <wp:extent cx="1885950" cy="906800"/>
                <wp:effectExtent b="12700" l="12700" r="12700" t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311500" y="1017125"/>
                          <a:ext cx="3004800" cy="1015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  <w:t xml:space="preserve">3. Laporan kiriman yang hilang/rusak selambat-lambatnya 2 x 24 jam setelah penyerahan barang dan harus disaksikan pengantar barang.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  <w:t xml:space="preserve">4. Setelah batas waktu yang kami tentukan tidak ada laporan, kami tidak bertanggung jawab lagi atas segala resiko.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  <w:t xml:space="preserve">5. Kami hanya memberikan pengganti kerugian atas segala macam claim sebanyak maksimum 10 kali ongkos angkutan barang yang bersangkutan.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12"/>
                                <w:vertAlign w:val="baseline"/>
                              </w:rPr>
                              <w:t xml:space="preserve">6. Apabila penerima tidak mau membayar bea angkutan maka pengirim yang harus membayanya.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136525</wp:posOffset>
                </wp:positionV>
                <wp:extent cx="1885950" cy="906800"/>
                <wp:effectExtent b="12700" l="12700" r="12700" t="1270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906800"/>
                        </a:xfrm>
                        <a:prstGeom prst="rect"/>
                        <a:ln w="12700">
                          <a:solidFill>
                            <a:srgbClr val="4A86E8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1906" w:w="8391" w:orient="portrait"/>
      <w:pgMar w:bottom="283.4645669291338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