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63E3B"/>
          <w:sz w:val="56"/>
          <w:szCs w:val="56"/>
        </w:rPr>
        <w:t xml:space="preserve">Heirloom Life</w:t>
      </w:r>
    </w:p>
    <w:p>
      <w:pPr>
        <w:spacing w:after="400"/>
      </w:pPr>
      <w:r>
        <w:rPr>
          <w:color w:val="595959"/>
          <w:sz w:val="32"/>
          <w:szCs w:val="32"/>
        </w:rPr>
        <w:t xml:space="preserve">Platform Design System — applying the marketing site language to the app</w:t>
      </w:r>
    </w:p>
    <w:p>
      <w:pPr>
        <w:spacing w:after="160"/>
      </w:pPr>
      <w:r>
        <w:t xml:space="preserve">Hand this document and the accompanying tokens file to Claude Code. It defines the visual language already shipped on the marketing site and how to apply it consistently to the questionnaire, dashboard, and Living Vault.</w:t>
      </w:r>
    </w:p>
    <w:p>
      <w:pPr>
        <w:pBdr>
          <w:bottom w:val="single" w:color="2AB4AE" w:sz="6" w:space="4"/>
        </w:pBdr>
        <w:spacing w:after="200"/>
      </w:pPr>
    </w:p>
    <w:p>
      <w:pPr>
        <w:pStyle w:val="Heading1"/>
      </w:pPr>
      <w:r>
        <w:t xml:space="preserve">1. Before applying anything</w:t>
      </w:r>
    </w:p>
    <w:p>
      <w:pPr>
        <w:spacing w:after="160"/>
      </w:pPr>
      <w:r>
        <w:t xml:space="preserve">This system assumes the platform is built in Next.js, per the existing build stack. The actual styling approach (Tailwind, CSS Modules, plain CSS, styled-components) was not confirmed at the time this was written. Claude Code should check package.json and the existing component files first, then apply these tokens using whichever method matches what's already there — do not introduce a second styling system alongside an existing one. Implementation notes for each likely approach are in Section 5.</w:t>
      </w:r>
    </w:p>
    <w:p>
      <w:pPr>
        <w:pStyle w:val="Heading1"/>
      </w:pPr>
      <w:r>
        <w:t xml:space="preserve">2. Design Principles</w:t>
      </w:r>
    </w:p>
    <w:p>
      <w:pPr>
        <w:spacing w:after="160"/>
      </w:pPr>
      <w:r>
        <w:t xml:space="preserve">The marketing site's visual language is built on restraint: generous whitespace, hairline 1px dividers instead of boxed shadowed cards, a small and precisely-spaced type scale, and a single accent color used deliberately rather than everywhere. The brief was Tiffany &amp; Co. / Cartier-adjacent — quiet luxury, not SaaS-bright. Four rules carry this into the app:</w:t>
      </w:r>
    </w:p>
    <w:p>
      <w:pPr>
        <w:pStyle w:val="ListParagraph"/>
        <w:numPr>
          <w:ilvl w:val="0"/>
          <w:numId w:val="2"/>
        </w:numPr>
        <w:spacing w:after="80"/>
      </w:pPr>
      <w:r>
        <w:t xml:space="preserve">Hairlines, not boxes. Borders are 1px and low-opacity. Avoid drop shadows, rounded card containers, and heavy fills as default UI chrome.</w:t>
      </w:r>
    </w:p>
    <w:p>
      <w:pPr>
        <w:pStyle w:val="ListParagraph"/>
        <w:numPr>
          <w:ilvl w:val="0"/>
          <w:numId w:val="2"/>
        </w:numPr>
        <w:spacing w:after="80"/>
      </w:pPr>
      <w:r>
        <w:t xml:space="preserve">One accent, used precisely. The bright teal (#2AB4AE) is the only saturated color in the system. It marks the few things that matter: a primary action, a status indicator, a selected state. It is not a background fill or a default link color everywhere.</w:t>
      </w:r>
    </w:p>
    <w:p>
      <w:pPr>
        <w:pStyle w:val="ListParagraph"/>
        <w:numPr>
          <w:ilvl w:val="0"/>
          <w:numId w:val="2"/>
        </w:numPr>
        <w:spacing w:after="80"/>
      </w:pPr>
      <w:r>
        <w:t xml:space="preserve">Generous space over dense layout. Err toward more padding and breathing room than feels natural for a typical SaaS dashboard. Density is the opposite of the brand.</w:t>
      </w:r>
    </w:p>
    <w:p>
      <w:pPr>
        <w:pStyle w:val="ListParagraph"/>
        <w:numPr>
          <w:ilvl w:val="0"/>
          <w:numId w:val="2"/>
        </w:numPr>
        <w:spacing w:after="80"/>
      </w:pPr>
      <w:r>
        <w:t xml:space="preserve">Serif for moments, sans for function. Instrument Serif (italic, used sparingly) marks key headlines and numerals that should feel considered. DM Sans handles every functional UI element: labels, buttons, form fields, body copy, navigation.</w:t>
      </w:r>
    </w:p>
    <w:p>
      <w:pPr>
        <w:pStyle w:val="Heading1"/>
      </w:pPr>
      <w:r>
        <w:t xml:space="preserve">3. Token Reference</w:t>
      </w:r>
    </w:p>
    <w:p>
      <w:pPr>
        <w:spacing w:after="160"/>
      </w:pPr>
      <w:r>
        <w:t xml:space="preserve">These are the same tokens used on the marketing site. The accompanying tokens.css / tokens.json file has these in machine-readable form — this table is for human reference.</w:t>
      </w:r>
    </w:p>
    <w:p>
      <w:pPr>
        <w:pStyle w:val="Heading2"/>
      </w:pPr>
      <w:r>
        <w:t xml:space="preserve">3.1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9D9D9" w:sz="4"/>
              <w:left w:val="single" w:color="D9D9D9" w:sz="4"/>
              <w:bottom w:val="single" w:color="D9D9D9" w:sz="4"/>
              <w:right w:val="single" w:color="D9D9D9" w:sz="4"/>
            </w:tcBorders>
            <w:shd w:fill="F5F3EE" w:val="clear"/>
            <w:tcMar>
              <w:top w:type="dxa" w:w="80"/>
              <w:left w:type="dxa" w:w="120"/>
              <w:bottom w:type="dxa" w:w="80"/>
              <w:right w:type="dxa" w:w="120"/>
            </w:tcMar>
          </w:tcPr>
          <w:p>
            <w:r>
              <w:rPr>
                <w:b/>
                <w:bCs/>
              </w:rPr>
              <w:t xml:space="preserve">Token</w:t>
            </w:r>
          </w:p>
        </w:tc>
        <w:tc>
          <w:tcPr>
            <w:tcW w:type="dxa" w:w="3200"/>
            <w:tcBorders>
              <w:top w:val="single" w:color="D9D9D9" w:sz="4"/>
              <w:left w:val="single" w:color="D9D9D9" w:sz="4"/>
              <w:bottom w:val="single" w:color="D9D9D9" w:sz="4"/>
              <w:right w:val="single" w:color="D9D9D9" w:sz="4"/>
            </w:tcBorders>
            <w:shd w:fill="F5F3EE" w:val="clear"/>
            <w:tcMar>
              <w:top w:type="dxa" w:w="80"/>
              <w:left w:type="dxa" w:w="120"/>
              <w:bottom w:type="dxa" w:w="80"/>
              <w:right w:type="dxa" w:w="120"/>
            </w:tcMar>
          </w:tcPr>
          <w:p>
            <w:r>
              <w:rPr>
                <w:b/>
                <w:bCs/>
              </w:rPr>
              <w:t xml:space="preserve">Hex</w:t>
            </w:r>
          </w:p>
        </w:tc>
        <w:tc>
          <w:tcPr>
            <w:tcW w:type="dxa" w:w="3960"/>
            <w:tcBorders>
              <w:top w:val="single" w:color="D9D9D9" w:sz="4"/>
              <w:left w:val="single" w:color="D9D9D9" w:sz="4"/>
              <w:bottom w:val="single" w:color="D9D9D9" w:sz="4"/>
              <w:right w:val="single" w:color="D9D9D9" w:sz="4"/>
            </w:tcBorders>
            <w:shd w:fill="F5F3EE" w:val="clear"/>
            <w:tcMar>
              <w:top w:type="dxa" w:w="80"/>
              <w:left w:type="dxa" w:w="120"/>
              <w:bottom w:type="dxa" w:w="80"/>
              <w:right w:type="dxa" w:w="120"/>
            </w:tcMar>
          </w:tcPr>
          <w:p>
            <w:r>
              <w:rPr>
                <w:b/>
                <w:bCs/>
              </w:rPr>
              <w:t xml:space="preserve">Usage</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ink</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#0E1310</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Primary text, dark section backgrounds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teal</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#2AB4AE</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Primary accent — buttons, active states, key numerals, status dots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teal-deep</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#163E3B</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Large headline text on light backgrounds, link text needing contrast</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paper</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#FBFAF7</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Primary background</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paper-warm</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#F5F3EE</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Secondary/alternating section background</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neutral</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#8A8D87</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Secondary text, captions, metadata</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line</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rgba(14,19,16,0.10)</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Standard hairline border/divider</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line-soft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rgba(14,19,16,0.06)</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Subtler internal divider (e.g. list rows within a card)</w:t>
            </w:r>
          </w:p>
        </w:tc>
      </w:tr>
    </w:tbl>
    <w:p>
      <w:pPr>
        <w:spacing w:after="160"/>
      </w:pPr>
      <w:r>
        <w:t xml:space="preserve">A note on applying teal in the app context: in the marketing site, teal marks eyebrows, button outlines/hovers, numerals, and checkmarks. In the platform, the equivalent moments are: the primary CTA per screen (e.g. "Continue" in the questionnaire), active/selected state on a step or tab, status indicators (e.g. "Will up to date" vs needing attention), and icons tied to the Vault's core objects (documents, assets, people). Don't apply it to every icon or every link — that dilutes it back into a generic teal SaaS app, which is the opposite of the brief.</w:t>
      </w:r>
    </w:p>
    <w:p>
      <w:pPr>
        <w:pStyle w:val="Heading2"/>
      </w:pPr>
      <w: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9D9D9" w:sz="4"/>
              <w:left w:val="single" w:color="D9D9D9" w:sz="4"/>
              <w:bottom w:val="single" w:color="D9D9D9" w:sz="4"/>
              <w:right w:val="single" w:color="D9D9D9" w:sz="4"/>
            </w:tcBorders>
            <w:shd w:fill="F5F3EE" w:val="clear"/>
            <w:tcMar>
              <w:top w:type="dxa" w:w="80"/>
              <w:left w:type="dxa" w:w="120"/>
              <w:bottom w:type="dxa" w:w="80"/>
              <w:right w:type="dxa" w:w="120"/>
            </w:tcMar>
          </w:tcPr>
          <w:p>
            <w:r>
              <w:rPr>
                <w:b/>
                <w:bCs/>
              </w:rPr>
              <w:t xml:space="preserve">Role</w:t>
            </w:r>
          </w:p>
        </w:tc>
        <w:tc>
          <w:tcPr>
            <w:tcW w:type="dxa" w:w="2600"/>
            <w:tcBorders>
              <w:top w:val="single" w:color="D9D9D9" w:sz="4"/>
              <w:left w:val="single" w:color="D9D9D9" w:sz="4"/>
              <w:bottom w:val="single" w:color="D9D9D9" w:sz="4"/>
              <w:right w:val="single" w:color="D9D9D9" w:sz="4"/>
            </w:tcBorders>
            <w:shd w:fill="F5F3EE" w:val="clear"/>
            <w:tcMar>
              <w:top w:type="dxa" w:w="80"/>
              <w:left w:type="dxa" w:w="120"/>
              <w:bottom w:type="dxa" w:w="80"/>
              <w:right w:type="dxa" w:w="120"/>
            </w:tcMar>
          </w:tcPr>
          <w:p>
            <w:r>
              <w:rPr>
                <w:b/>
                <w:bCs/>
              </w:rPr>
              <w:t xml:space="preserve">Font</w:t>
            </w:r>
          </w:p>
        </w:tc>
        <w:tc>
          <w:tcPr>
            <w:tcW w:type="dxa" w:w="4560"/>
            <w:tcBorders>
              <w:top w:val="single" w:color="D9D9D9" w:sz="4"/>
              <w:left w:val="single" w:color="D9D9D9" w:sz="4"/>
              <w:bottom w:val="single" w:color="D9D9D9" w:sz="4"/>
              <w:right w:val="single" w:color="D9D9D9" w:sz="4"/>
            </w:tcBorders>
            <w:shd w:fill="F5F3EE" w:val="clear"/>
            <w:tcMar>
              <w:top w:type="dxa" w:w="80"/>
              <w:left w:type="dxa" w:w="120"/>
              <w:bottom w:type="dxa" w:w="80"/>
              <w:right w:type="dxa" w:w="120"/>
            </w:tcMar>
          </w:tcPr>
          <w:p>
            <w:r>
              <w:rPr>
                <w:b/>
                <w:bCs/>
              </w:rPr>
              <w:t xml:space="preserve">Notes</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Display</w:t>
            </w:r>
          </w:p>
        </w:tc>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Instrument Serif</w:t>
            </w:r>
          </w:p>
        </w:tc>
        <w:tc>
          <w:tcPr>
            <w:tcW w:type="dxa" w:w="4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Italic, used sparingly — page headlines, key numerals (step numbers, prices), not body text</w:t>
            </w:r>
          </w:p>
        </w:tc>
      </w:tr>
      <w:tr>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Body / UI</w:t>
            </w:r>
          </w:p>
        </w:tc>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DM Sans</w:t>
            </w:r>
          </w:p>
        </w:tc>
        <w:tc>
          <w:tcPr>
            <w:tcW w:type="dxa" w:w="4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Everything functional: labels, inputs, buttons, navigation, body copy</w:t>
            </w:r>
          </w:p>
        </w:tc>
      </w:tr>
    </w:tbl>
    <w:p>
      <w:pPr>
        <w:spacing w:after="160"/>
      </w:pPr>
      <w:r>
        <w:t xml:space="preserve">Scale is intentionally small and restrained relative to typical dashboard UI — h1 sits around 2.2–3.4rem (clamp), h2 around 1.7–2.3rem, h3 around 1.15–1.35rem. Eyebrow/label text is tiny (0.68rem) with wide letter-spacing (0.22em) and uppercase — this label treatment is a signature, worth carrying into section headers and form field group labels in the app.</w:t>
      </w:r>
    </w:p>
    <w:p>
      <w:pPr>
        <w:pStyle w:val="Heading2"/>
      </w:pPr>
      <w:r>
        <w:t xml:space="preserve">3.3 Spacing &amp; Layout</w:t>
      </w:r>
    </w:p>
    <w:p>
      <w:pPr>
        <w:pStyle w:val="ListParagraph"/>
        <w:numPr>
          <w:ilvl w:val="0"/>
          <w:numId w:val="2"/>
        </w:numPr>
        <w:spacing w:after="80"/>
      </w:pPr>
      <w:r>
        <w:t xml:space="preserve">Section/page padding: 130px top and bottom on desktop marketing pages; for app screens with more functional density, this can compress to 64–96px, but should not compress further than that for primary content areas — the brand's whitespace is part of its identity, not just a marketing-page flourish.</w:t>
      </w:r>
    </w:p>
    <w:p>
      <w:pPr>
        <w:pStyle w:val="ListParagraph"/>
        <w:numPr>
          <w:ilvl w:val="0"/>
          <w:numId w:val="2"/>
        </w:numPr>
        <w:spacing w:after="80"/>
      </w:pPr>
      <w:r>
        <w:t xml:space="preserve">Borders: 1px solid, using the line or line-soft tokens. No border-radius on primary containers (cards, panels) — square corners throughout, consistent with the marketing site's hairline aesthetic. Buttons also use 0 border-radius.</w:t>
      </w:r>
    </w:p>
    <w:p>
      <w:pPr>
        <w:pStyle w:val="ListParagraph"/>
        <w:numPr>
          <w:ilvl w:val="0"/>
          <w:numId w:val="2"/>
        </w:numPr>
        <w:spacing w:after="80"/>
      </w:pPr>
      <w:r>
        <w:t xml:space="preserve">Max content width: 1180px for primary layouts; narrower (660–740px) for single-column reading contexts like a Will summary or document view.</w:t>
      </w:r>
    </w:p>
    <w:p>
      <w:pPr>
        <w:pStyle w:val="Heading2"/>
      </w:pPr>
      <w:r>
        <w:t xml:space="preserve">3.4 Motion</w:t>
      </w:r>
    </w:p>
    <w:p>
      <w:pPr>
        <w:spacing w:after="160"/>
      </w:pPr>
      <w:r>
        <w:t xml:space="preserve">Transitions are slow and deliberate: 400–600ms with an eased curve (cubic-bezier(0.16, 1, 0.3, 1) is used site-wide), not the snappy 150–200ms typical of SaaS UI. Hover states fade rather than snap. Scroll-triggered reveals (fade + slight upward movement) are used on the marketing site for section entrances — worth carrying into dashboard panel load-ins, but should be used once per view, not on every individual element, or it starts to feel busy rather than considered.</w:t>
      </w:r>
    </w:p>
    <w:p>
      <w:r>
        <w:br w:type="page"/>
      </w:r>
    </w:p>
    <w:p>
      <w:pPr>
        <w:pStyle w:val="Heading1"/>
      </w:pPr>
      <w:r>
        <w:t xml:space="preserve">4. Applying This to Specific Platform Screens</w:t>
      </w:r>
    </w:p>
    <w:p>
      <w:pPr>
        <w:pStyle w:val="Heading2"/>
      </w:pPr>
      <w:r>
        <w:t xml:space="preserve">4.1 The Questionnaire (8-step flow)</w:t>
      </w:r>
    </w:p>
    <w:p>
      <w:pPr>
        <w:pStyle w:val="ListParagraph"/>
        <w:numPr>
          <w:ilvl w:val="0"/>
          <w:numId w:val="2"/>
        </w:numPr>
        <w:spacing w:after="80"/>
      </w:pPr>
      <w:r>
        <w:t xml:space="preserve">Step indicator: use the serif italic numeral treatment from the marketing site's how-it-works page (e.g. "01", "02" in Instrument Serif italic, teal) rather than a generic progress bar or dot stepper — this is a natural extension of an existing signature element.</w:t>
      </w:r>
    </w:p>
    <w:p>
      <w:pPr>
        <w:pStyle w:val="ListParagraph"/>
        <w:numPr>
          <w:ilvl w:val="0"/>
          <w:numId w:val="2"/>
        </w:numPr>
        <w:spacing w:after="80"/>
      </w:pPr>
      <w:r>
        <w:t xml:space="preserve">Field labels: small, uppercase, wide-tracked DM Sans labels (matching the eyebrow treatment) above each input, not inline placeholder-only patterns.</w:t>
      </w:r>
    </w:p>
    <w:p>
      <w:pPr>
        <w:pStyle w:val="ListParagraph"/>
        <w:numPr>
          <w:ilvl w:val="0"/>
          <w:numId w:val="2"/>
        </w:numPr>
        <w:spacing w:after="80"/>
      </w:pPr>
      <w:r>
        <w:t xml:space="preserve">Primary action ("Continue"/"Next"): the outlined teal button style (transparent fill, teal border, fills solid teal on hover) — matches .btn-teal on the marketing site exactly.</w:t>
      </w:r>
    </w:p>
    <w:p>
      <w:pPr>
        <w:pStyle w:val="ListParagraph"/>
        <w:numPr>
          <w:ilvl w:val="0"/>
          <w:numId w:val="2"/>
        </w:numPr>
        <w:spacing w:after="80"/>
      </w:pPr>
      <w:r>
        <w:t xml:space="preserve">Avoid: progress bars with gradient fills, rounded pill-shaped step indicators, or bright filled buttons as default state — all of these pull back toward generic SaaS onboarding rather than the considered, editorial feel established on the marketing site.</w:t>
      </w:r>
    </w:p>
    <w:p>
      <w:pPr>
        <w:pStyle w:val="Heading2"/>
      </w:pPr>
      <w:r>
        <w:t xml:space="preserve">4.2 Dashboard</w:t>
      </w:r>
    </w:p>
    <w:p>
      <w:pPr>
        <w:pStyle w:val="ListParagraph"/>
        <w:numPr>
          <w:ilvl w:val="0"/>
          <w:numId w:val="2"/>
        </w:numPr>
        <w:spacing w:after="80"/>
      </w:pPr>
      <w:r>
        <w:t xml:space="preserve">Asset/people/document tiles: apply the hairline-bordered, no-shadow card treatment (.card on the marketing site) rather than the heavier shadowed tiles likely currently in place. Square corners, generous internal padding (~36–44px), thin 1px border.</w:t>
      </w:r>
    </w:p>
    <w:p>
      <w:pPr>
        <w:pStyle w:val="ListParagraph"/>
        <w:numPr>
          <w:ilvl w:val="0"/>
          <w:numId w:val="2"/>
        </w:numPr>
        <w:spacing w:after="80"/>
      </w:pPr>
      <w:r>
        <w:t xml:space="preserve">Status language ("Will up to date", "Needs review"): use teal for the positive/current state and a muted neutral or amber-adjacent tone (not introduced yet — flag to design if needed) for attention-needed states, rather than typical green/red traffic-light coloring, which feels more consumer-app than considered-product.</w:t>
      </w:r>
    </w:p>
    <w:p>
      <w:pPr>
        <w:pStyle w:val="ListParagraph"/>
        <w:numPr>
          <w:ilvl w:val="0"/>
          <w:numId w:val="2"/>
        </w:numPr>
        <w:spacing w:after="80"/>
      </w:pPr>
      <w:r>
        <w:t xml:space="preserve">AI chat input: keep this visually quiet — a thin-bordered input field, not a bright gradient or heavily branded chat bubble treatment. The chat is a utility, not a moment to introduce new visual flourish.</w:t>
      </w:r>
    </w:p>
    <w:p>
      <w:pPr>
        <w:pStyle w:val="Heading2"/>
      </w:pPr>
      <w:r>
        <w:t xml:space="preserve">4.3 Living Vault</w:t>
      </w:r>
    </w:p>
    <w:p>
      <w:pPr>
        <w:pStyle w:val="ListParagraph"/>
        <w:numPr>
          <w:ilvl w:val="0"/>
          <w:numId w:val="2"/>
        </w:numPr>
        <w:spacing w:after="80"/>
      </w:pPr>
      <w:r>
        <w:t xml:space="preserve">This is the natural home for the display-case motif from the marketing site homepage (the bordered frame row presenting Will / Vault / People / Update). Consider using a similar framed-object treatment for how documents and assets are actually displayed once a user has them stored — it reinforces the "command centre" / "kept like something valuable" positioning directly in the product, not just the marketing copy.</w:t>
      </w:r>
    </w:p>
    <w:p>
      <w:pPr>
        <w:pStyle w:val="Heading1"/>
      </w:pPr>
      <w:r>
        <w:t xml:space="preserve">5. Implementation Notes by Likely Styling Approach</w:t>
      </w:r>
    </w:p>
    <w:p>
      <w:pPr>
        <w:spacing w:after="160"/>
      </w:pPr>
      <w:r>
        <w:t xml:space="preserve">Since the actual approach wasn't confirmed, here's how to apply the tokens under each likely setup. Claude Code should check the existing codebase first and use the matching section.</w:t>
      </w:r>
    </w:p>
    <w:p>
      <w:pPr>
        <w:pStyle w:val="Heading2"/>
      </w:pPr>
      <w:r>
        <w:t xml:space="preserve">5.1 If the platform uses Tailwind</w:t>
      </w:r>
    </w:p>
    <w:p>
      <w:pPr>
        <w:spacing w:after="160"/>
      </w:pPr>
      <w:r>
        <w:t xml:space="preserve">Add the tokens to tailwind.config.js under theme.extend.colors and theme.extend.fontFamily, matching the structure already used in the marketing site's Next.js conversion (see tailwind.config.js in that project). Reuse the same token names (ink, teal, teal-deep, paper, paper-warm, neutral) so class names stay consistent across both codebases — e.g. bg-ink, text-teal, border-line.</w:t>
      </w:r>
    </w:p>
    <w:p>
      <w:pPr>
        <w:pStyle w:val="Heading2"/>
      </w:pPr>
      <w:r>
        <w:t xml:space="preserve">5.2 If the platform uses plain CSS or CSS Modules</w:t>
      </w:r>
    </w:p>
    <w:p>
      <w:pPr>
        <w:spacing w:after="160"/>
      </w:pPr>
      <w:r>
        <w:t xml:space="preserve">Use the accompanying tokens.css file directly — it defines the same values as CSS custom properties (:root variables), identical to the marketing site's css/style.css token block. Import it once at the application root and reference var(--ink), var(--teal), etc. throughout component stylesheets.</w:t>
      </w:r>
    </w:p>
    <w:p>
      <w:pPr>
        <w:pStyle w:val="Heading2"/>
      </w:pPr>
      <w:r>
        <w:t xml:space="preserve">5.3 If the platform uses styled-components or a JS-based theme</w:t>
      </w:r>
    </w:p>
    <w:p>
      <w:pPr>
        <w:spacing w:after="160"/>
      </w:pPr>
      <w:r>
        <w:t xml:space="preserve">Use the accompanying tokens.json file as the theme object's source values. Map each key directly into the existing theme provider's color and typography scales rather than introducing a parallel theme structure.</w:t>
      </w:r>
    </w:p>
    <w:p>
      <w:pPr>
        <w:pStyle w:val="Heading1"/>
      </w:pPr>
      <w:r>
        <w:t xml:space="preserve">6. What NOT to Change</w:t>
      </w:r>
    </w:p>
    <w:p>
      <w:pPr>
        <w:spacing w:after="160"/>
      </w:pPr>
      <w:r>
        <w:t xml:space="preserve">This restyling is visual only. It should not touch: form validation logic, the Supabase data layer, routing/navigation structure, or any business logic in the questionnaire flow. The goal is consistent visual language, not a UX or functional rebuild — those are separate, already-prioritised build items (deferred bugs on Add Asset/Add Person modals, executor-optional logic) and shouldn't be conflated with this styling pass.</w:t>
      </w:r>
    </w:p>
    <w:p>
      <w:pPr>
        <w:pBdr>
          <w:bottom w:val="single" w:color="2AB4AE" w:sz="6" w:space="4"/>
        </w:pBdr>
        <w:spacing w:after="200"/>
      </w:pPr>
    </w:p>
    <w:p>
      <w:pPr>
        <w:spacing w:after="160"/>
      </w:pPr>
      <w:r>
        <w:rPr>
          <w:color w:val="595959"/>
          <w:sz w:val="18"/>
          <w:szCs w:val="18"/>
        </w:rPr>
        <w:t xml:space="preserve">End of document. See tokens.css and tokens.json for machine-readable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3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63E3B"/>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E1310"/>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2026-06-17T00:04:21.105Z</dcterms:created>
  <dcterms:modified xsi:type="dcterms:W3CDTF">2026-06-17T00:04:21.105Z</dcterms:modified>
</cp:coreProperties>
</file>

<file path=docProps/custom.xml><?xml version="1.0" encoding="utf-8"?>
<Properties xmlns="http://schemas.openxmlformats.org/officeDocument/2006/custom-properties" xmlns:vt="http://schemas.openxmlformats.org/officeDocument/2006/docPropsVTypes"/>
</file>