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b/>
          <w:color w:val="0F6B45"/>
          <w:sz w:val="68"/>
          <w:rtl w:val="1"/>
          <w:lang w:bidi="ar-SA"/>
        </w:rPr>
        <w:t>رحلة المشارك</w:t>
      </w:r>
    </w:p>
    <w:p>
      <w:pPr>
        <w:jc w:val="center"/>
      </w:pPr>
      <w:r>
        <w:rPr>
          <w:color w:val="6B7F74"/>
          <w:sz w:val="30"/>
          <w:rtl w:val="1"/>
          <w:lang w:bidi="ar-SA"/>
        </w:rPr>
        <w:t>منصة مركز تمكين الكفاءات</w:t>
      </w:r>
    </w:p>
    <w:p>
      <w:pPr>
        <w:spacing w:before="520"/>
        <w:ind w:left="1296" w:right="1296"/>
        <w:jc w:val="center"/>
      </w:pPr>
      <w:r>
        <w:rPr>
          <w:color w:val="6B7F74"/>
          <w:sz w:val="22"/>
          <w:rtl w:val="1"/>
          <w:lang w:bidi="ar-SA"/>
        </w:rPr>
        <w:t>من إضافة المشارك إلى إسناده لمستشار المقابلة — المسار كاملاً بالصور. كل صورة مُلتقطة آلياً من المنصّة نفسها، فلا تتقادم عن الواجهة.</w:t>
      </w:r>
    </w:p>
    <w:p>
      <w:pPr>
        <w:spacing w:before="440"/>
        <w:jc w:val="center"/>
      </w:pPr>
      <w:r>
        <w:rPr>
          <w:color w:val="6B7F74"/>
          <w:sz w:val="21"/>
        </w:rPr>
        <w:t>2026-08-23</w:t>
      </w:r>
    </w:p>
    <w:p>
      <w:pPr>
        <w:pStyle w:val="Heading1"/>
        <w:pageBreakBefore/>
        <w:bidi/>
      </w:pPr>
      <w:r>
        <w:rPr>
          <w:rtl w:val="1"/>
          <w:lang w:bidi="ar-SA"/>
        </w:rPr>
        <w:t>الفهرس</w:t>
      </w:r>
    </w:p>
    <w:p>
      <w:pPr>
        <w:bidi/>
      </w:pPr>
      <w:r>
        <w:fldChar w:fldCharType="begin"/>
        <w:instrText xml:space="preserve">TOC \o "1-2" \h \z \u</w:instrText>
        <w:fldChar w:fldCharType="separate"/>
      </w:r>
      <w:r>
        <w:rPr>
          <w:color w:val="6B7F74"/>
          <w:sz w:val="20"/>
          <w:rtl w:val="1"/>
          <w:lang w:bidi="ar-SA"/>
        </w:rPr>
        <w:t>يُولَّد الفهرس عند فتح الملف — وإن لم يظهر فاضغط بزرّ الفأرة الأيمن هنا ثم «تحديث الحقل».</w:t>
      </w:r>
      <w:r>
        <w:fldChar w:fldCharType="end"/>
      </w:r>
    </w:p>
    <w:p>
      <w:pPr>
        <w:pStyle w:val="Heading1"/>
        <w:pageBreakBefore/>
        <w:bidi/>
      </w:pPr>
      <w:r>
        <w:rPr>
          <w:rtl w:val="1"/>
          <w:lang w:bidi="ar-SA"/>
        </w:rPr>
        <w:t>نظرة عامة على المسار</w:t>
      </w:r>
    </w:p>
    <w:p>
      <w:pPr>
        <w:bidi/>
      </w:pPr>
      <w:r>
        <w:rPr>
          <w:rtl w:val="1"/>
          <w:lang w:bidi="ar-SA"/>
        </w:rPr>
        <w:t xml:space="preserve">رحلة المشارك سبع محطّات، لكلٍّ منها </w:t>
      </w:r>
      <w:r>
        <w:rPr>
          <w:b/>
          <w:rtl w:val="1"/>
          <w:lang w:bidi="ar-SA"/>
        </w:rPr>
        <w:t>صاحبٌ</w:t>
      </w:r>
      <w:r>
        <w:rPr>
          <w:rtl w:val="1"/>
          <w:lang w:bidi="ar-SA"/>
        </w:rPr>
        <w:t xml:space="preserve"> و</w:t>
      </w:r>
      <w:r>
        <w:rPr>
          <w:b/>
          <w:rtl w:val="1"/>
          <w:lang w:bidi="ar-SA"/>
        </w:rPr>
        <w:t>شاشة</w:t>
      </w:r>
      <w:r>
        <w:rPr>
          <w:rtl w:val="1"/>
          <w:lang w:bidi="ar-SA"/>
        </w:rPr>
        <w:t xml:space="preserve"> و</w:t>
      </w:r>
      <w:r>
        <w:rPr>
          <w:b/>
          <w:rtl w:val="1"/>
          <w:lang w:bidi="ar-SA"/>
        </w:rPr>
        <w:t>شرطٌ لا تبدأ قبله</w:t>
      </w:r>
      <w:r>
        <w:rPr>
          <w:rtl w:val="1"/>
          <w:lang w:bidi="ar-SA"/>
        </w:rPr>
        <w:t>:</w:t>
      </w:r>
    </w:p>
    <w:tbl>
      <w:tblPr>
        <w:tblStyle w:val="TableGrid"/>
        <w:tblW w:type="auto" w:w="0"/>
        <w:jc w:val="center"/>
        <w:tblLook w:firstColumn="1" w:firstRow="1" w:lastColumn="0" w:lastRow="0" w:noHBand="0" w:noVBand="1" w:val="04A0"/>
        <w:bidiVisual/>
      </w:tblPr>
      <w:tblGrid>
        <w:gridCol w:w="1950"/>
        <w:gridCol w:w="1950"/>
        <w:gridCol w:w="1950"/>
        <w:gridCol w:w="1950"/>
        <w:gridCol w:w="1950"/>
      </w:tblGrid>
      <w:tr>
        <w:tc>
          <w:tcPr>
            <w:tcW w:type="dxa" w:w="1950"/>
            <w:shd w:val="clear" w:color="auto" w:fill="EAF5EF"/>
          </w:tcPr>
          <w:p>
            <w:pPr>
              <w:bidi/>
            </w:pPr>
            <w:r>
              <w:rPr>
                <w:b/>
                <w:sz w:val="19"/>
              </w:rPr>
            </w:r>
            <w:r>
              <w:rPr>
                <w:b/>
                <w:sz w:val="19"/>
                <w:rtl w:val="1"/>
                <w:lang w:bidi="ar-SA"/>
              </w:rPr>
              <w:t>#</w:t>
            </w:r>
          </w:p>
        </w:tc>
        <w:tc>
          <w:tcPr>
            <w:tcW w:type="dxa" w:w="1950"/>
            <w:shd w:val="clear" w:color="auto" w:fill="EAF5EF"/>
          </w:tcPr>
          <w:p>
            <w:pPr>
              <w:bidi/>
            </w:pPr>
            <w:r>
              <w:rPr>
                <w:b/>
                <w:sz w:val="19"/>
              </w:rPr>
            </w:r>
            <w:r>
              <w:rPr>
                <w:b/>
                <w:sz w:val="19"/>
                <w:rtl w:val="1"/>
                <w:lang w:bidi="ar-SA"/>
              </w:rPr>
              <w:t>المحطّة</w:t>
            </w:r>
          </w:p>
        </w:tc>
        <w:tc>
          <w:tcPr>
            <w:tcW w:type="dxa" w:w="1950"/>
            <w:shd w:val="clear" w:color="auto" w:fill="EAF5EF"/>
          </w:tcPr>
          <w:p>
            <w:pPr>
              <w:bidi/>
            </w:pPr>
            <w:r>
              <w:rPr>
                <w:b/>
                <w:sz w:val="19"/>
              </w:rPr>
            </w:r>
            <w:r>
              <w:rPr>
                <w:b/>
                <w:sz w:val="19"/>
                <w:rtl w:val="1"/>
                <w:lang w:bidi="ar-SA"/>
              </w:rPr>
              <w:t>من ينفّذها</w:t>
            </w:r>
          </w:p>
        </w:tc>
        <w:tc>
          <w:tcPr>
            <w:tcW w:type="dxa" w:w="1950"/>
            <w:shd w:val="clear" w:color="auto" w:fill="EAF5EF"/>
          </w:tcPr>
          <w:p>
            <w:pPr>
              <w:bidi/>
            </w:pPr>
            <w:r>
              <w:rPr>
                <w:b/>
                <w:sz w:val="19"/>
              </w:rPr>
            </w:r>
            <w:r>
              <w:rPr>
                <w:b/>
                <w:sz w:val="19"/>
                <w:rtl w:val="1"/>
                <w:lang w:bidi="ar-SA"/>
              </w:rPr>
              <w:t>الشاشة</w:t>
            </w:r>
          </w:p>
        </w:tc>
        <w:tc>
          <w:tcPr>
            <w:tcW w:type="dxa" w:w="1950"/>
            <w:shd w:val="clear" w:color="auto" w:fill="EAF5EF"/>
          </w:tcPr>
          <w:p>
            <w:pPr>
              <w:bidi/>
            </w:pPr>
            <w:r>
              <w:rPr>
                <w:b/>
                <w:sz w:val="19"/>
              </w:rPr>
            </w:r>
            <w:r>
              <w:rPr>
                <w:b/>
                <w:sz w:val="19"/>
                <w:rtl w:val="1"/>
                <w:lang w:bidi="ar-SA"/>
              </w:rPr>
              <w:t>لا تبدأ قبل</w:t>
            </w:r>
          </w:p>
        </w:tc>
      </w:tr>
      <w:tr>
        <w:tc>
          <w:tcPr>
            <w:tcW w:type="dxa" w:w="1950"/>
          </w:tcPr>
          <w:p>
            <w:pPr>
              <w:bidi/>
            </w:pPr>
            <w:r>
              <w:rPr>
                <w:sz w:val="19"/>
                <w:rtl w:val="1"/>
                <w:lang w:bidi="ar-SA"/>
              </w:rPr>
              <w:t>١</w:t>
            </w:r>
          </w:p>
        </w:tc>
        <w:tc>
          <w:tcPr>
            <w:tcW w:type="dxa" w:w="1950"/>
          </w:tcPr>
          <w:p>
            <w:pPr>
              <w:bidi/>
            </w:pPr>
            <w:r>
              <w:rPr>
                <w:sz w:val="19"/>
                <w:rtl w:val="1"/>
                <w:lang w:bidi="ar-SA"/>
              </w:rPr>
              <w:t>إضافة المشارك</w:t>
            </w:r>
          </w:p>
        </w:tc>
        <w:tc>
          <w:tcPr>
            <w:tcW w:type="dxa" w:w="1950"/>
          </w:tcPr>
          <w:p>
            <w:pPr>
              <w:bidi/>
            </w:pPr>
            <w:r>
              <w:rPr>
                <w:sz w:val="19"/>
                <w:rtl w:val="1"/>
                <w:lang w:bidi="ar-SA"/>
              </w:rPr>
              <w:t>المستخدم الخارجي أو مسؤول الجدولة</w:t>
            </w:r>
          </w:p>
        </w:tc>
        <w:tc>
          <w:tcPr>
            <w:tcW w:type="dxa" w:w="1950"/>
          </w:tcPr>
          <w:p>
            <w:pPr>
              <w:bidi/>
            </w:pPr>
            <w:r>
              <w:rPr>
                <w:sz w:val="19"/>
                <w:rtl w:val="1"/>
                <w:lang w:bidi="ar-SA"/>
              </w:rPr>
              <w:t>ترشيح مشارك / المشاركون</w:t>
            </w:r>
          </w:p>
        </w:tc>
        <w:tc>
          <w:tcPr>
            <w:tcW w:type="dxa" w:w="1950"/>
          </w:tcPr>
          <w:p>
            <w:pPr>
              <w:bidi/>
            </w:pPr>
            <w:r>
              <w:rPr>
                <w:sz w:val="19"/>
                <w:rtl w:val="1"/>
                <w:lang w:bidi="ar-SA"/>
              </w:rPr>
              <w:t>—</w:t>
            </w:r>
          </w:p>
        </w:tc>
      </w:tr>
      <w:tr>
        <w:tc>
          <w:tcPr>
            <w:tcW w:type="dxa" w:w="1950"/>
          </w:tcPr>
          <w:p>
            <w:pPr>
              <w:bidi/>
            </w:pPr>
            <w:r>
              <w:rPr>
                <w:sz w:val="19"/>
                <w:rtl w:val="1"/>
                <w:lang w:bidi="ar-SA"/>
              </w:rPr>
              <w:t>٢</w:t>
            </w:r>
          </w:p>
        </w:tc>
        <w:tc>
          <w:tcPr>
            <w:tcW w:type="dxa" w:w="1950"/>
          </w:tcPr>
          <w:p>
            <w:pPr>
              <w:bidi/>
            </w:pPr>
            <w:r>
              <w:rPr>
                <w:sz w:val="19"/>
                <w:rtl w:val="1"/>
                <w:lang w:bidi="ar-SA"/>
              </w:rPr>
              <w:t>اعتماد الترشيح</w:t>
            </w:r>
          </w:p>
        </w:tc>
        <w:tc>
          <w:tcPr>
            <w:tcW w:type="dxa" w:w="1950"/>
          </w:tcPr>
          <w:p>
            <w:pPr>
              <w:bidi/>
            </w:pPr>
            <w:r>
              <w:rPr>
                <w:sz w:val="19"/>
                <w:rtl w:val="1"/>
                <w:lang w:bidi="ar-SA"/>
              </w:rPr>
              <w:t>مسؤول الجدولة</w:t>
            </w:r>
          </w:p>
        </w:tc>
        <w:tc>
          <w:tcPr>
            <w:tcW w:type="dxa" w:w="1950"/>
          </w:tcPr>
          <w:p>
            <w:pPr>
              <w:bidi/>
            </w:pPr>
            <w:r>
              <w:rPr>
                <w:sz w:val="19"/>
                <w:rtl w:val="1"/>
                <w:lang w:bidi="ar-SA"/>
              </w:rPr>
              <w:t>المشاركون</w:t>
            </w:r>
          </w:p>
        </w:tc>
        <w:tc>
          <w:tcPr>
            <w:tcW w:type="dxa" w:w="1950"/>
          </w:tcPr>
          <w:p>
            <w:pPr>
              <w:bidi/>
            </w:pPr>
            <w:r>
              <w:rPr>
                <w:sz w:val="19"/>
                <w:rtl w:val="1"/>
                <w:lang w:bidi="ar-SA"/>
              </w:rPr>
              <w:t>اكتمال بيانات المشارك</w:t>
            </w:r>
          </w:p>
        </w:tc>
      </w:tr>
      <w:tr>
        <w:tc>
          <w:tcPr>
            <w:tcW w:type="dxa" w:w="1950"/>
          </w:tcPr>
          <w:p>
            <w:pPr>
              <w:bidi/>
            </w:pPr>
            <w:r>
              <w:rPr>
                <w:sz w:val="19"/>
                <w:rtl w:val="1"/>
                <w:lang w:bidi="ar-SA"/>
              </w:rPr>
              <w:t>٣</w:t>
            </w:r>
          </w:p>
        </w:tc>
        <w:tc>
          <w:tcPr>
            <w:tcW w:type="dxa" w:w="1950"/>
          </w:tcPr>
          <w:p>
            <w:pPr>
              <w:bidi/>
            </w:pPr>
            <w:r>
              <w:rPr>
                <w:sz w:val="19"/>
                <w:rtl w:val="1"/>
                <w:lang w:bidi="ar-SA"/>
              </w:rPr>
              <w:t>إنشاء موجة الجدولة</w:t>
            </w:r>
          </w:p>
        </w:tc>
        <w:tc>
          <w:tcPr>
            <w:tcW w:type="dxa" w:w="1950"/>
          </w:tcPr>
          <w:p>
            <w:pPr>
              <w:bidi/>
            </w:pPr>
            <w:r>
              <w:rPr>
                <w:sz w:val="19"/>
                <w:rtl w:val="1"/>
                <w:lang w:bidi="ar-SA"/>
              </w:rPr>
              <w:t>مسؤول الجدولة</w:t>
            </w:r>
          </w:p>
        </w:tc>
        <w:tc>
          <w:tcPr>
            <w:tcW w:type="dxa" w:w="1950"/>
          </w:tcPr>
          <w:p>
            <w:pPr>
              <w:bidi/>
            </w:pPr>
            <w:r>
              <w:rPr>
                <w:sz w:val="19"/>
                <w:rtl w:val="1"/>
                <w:lang w:bidi="ar-SA"/>
              </w:rPr>
              <w:t>موجات الجدولة</w:t>
            </w:r>
          </w:p>
        </w:tc>
        <w:tc>
          <w:tcPr>
            <w:tcW w:type="dxa" w:w="1950"/>
          </w:tcPr>
          <w:p>
            <w:pPr>
              <w:bidi/>
            </w:pPr>
            <w:r>
              <w:rPr>
                <w:sz w:val="19"/>
                <w:rtl w:val="1"/>
                <w:lang w:bidi="ar-SA"/>
              </w:rPr>
              <w:t>—</w:t>
            </w:r>
          </w:p>
        </w:tc>
      </w:tr>
      <w:tr>
        <w:tc>
          <w:tcPr>
            <w:tcW w:type="dxa" w:w="1950"/>
          </w:tcPr>
          <w:p>
            <w:pPr>
              <w:bidi/>
            </w:pPr>
            <w:r>
              <w:rPr>
                <w:sz w:val="19"/>
                <w:rtl w:val="1"/>
                <w:lang w:bidi="ar-SA"/>
              </w:rPr>
              <w:t>٤</w:t>
            </w:r>
          </w:p>
        </w:tc>
        <w:tc>
          <w:tcPr>
            <w:tcW w:type="dxa" w:w="1950"/>
          </w:tcPr>
          <w:p>
            <w:pPr>
              <w:bidi/>
            </w:pPr>
            <w:r>
              <w:rPr>
                <w:sz w:val="19"/>
                <w:rtl w:val="1"/>
                <w:lang w:bidi="ar-SA"/>
              </w:rPr>
              <w:t>اختيار المقيّمين ونصابهم</w:t>
            </w:r>
          </w:p>
        </w:tc>
        <w:tc>
          <w:tcPr>
            <w:tcW w:type="dxa" w:w="1950"/>
          </w:tcPr>
          <w:p>
            <w:pPr>
              <w:bidi/>
            </w:pPr>
            <w:r>
              <w:rPr>
                <w:sz w:val="19"/>
                <w:rtl w:val="1"/>
                <w:lang w:bidi="ar-SA"/>
              </w:rPr>
              <w:t>مسؤول الجدولة</w:t>
            </w:r>
          </w:p>
        </w:tc>
        <w:tc>
          <w:tcPr>
            <w:tcW w:type="dxa" w:w="1950"/>
          </w:tcPr>
          <w:p>
            <w:pPr>
              <w:bidi/>
            </w:pPr>
            <w:r>
              <w:rPr>
                <w:sz w:val="19"/>
                <w:rtl w:val="1"/>
                <w:lang w:bidi="ar-SA"/>
              </w:rPr>
              <w:t>لوحة الموجة</w:t>
            </w:r>
          </w:p>
        </w:tc>
        <w:tc>
          <w:tcPr>
            <w:tcW w:type="dxa" w:w="1950"/>
          </w:tcPr>
          <w:p>
            <w:pPr>
              <w:bidi/>
            </w:pPr>
            <w:r>
              <w:rPr>
                <w:sz w:val="19"/>
                <w:rtl w:val="1"/>
                <w:lang w:bidi="ar-SA"/>
              </w:rPr>
              <w:t>وجود موجة</w:t>
            </w:r>
          </w:p>
        </w:tc>
      </w:tr>
      <w:tr>
        <w:tc>
          <w:tcPr>
            <w:tcW w:type="dxa" w:w="1950"/>
          </w:tcPr>
          <w:p>
            <w:pPr>
              <w:bidi/>
            </w:pPr>
            <w:r>
              <w:rPr>
                <w:sz w:val="19"/>
                <w:rtl w:val="1"/>
                <w:lang w:bidi="ar-SA"/>
              </w:rPr>
              <w:t>٥</w:t>
            </w:r>
          </w:p>
        </w:tc>
        <w:tc>
          <w:tcPr>
            <w:tcW w:type="dxa" w:w="1950"/>
          </w:tcPr>
          <w:p>
            <w:pPr>
              <w:bidi/>
            </w:pPr>
            <w:r>
              <w:rPr>
                <w:sz w:val="19"/>
                <w:rtl w:val="1"/>
                <w:lang w:bidi="ar-SA"/>
              </w:rPr>
              <w:t>جدولة الجلسة وإسناد المقيّم</w:t>
            </w:r>
          </w:p>
        </w:tc>
        <w:tc>
          <w:tcPr>
            <w:tcW w:type="dxa" w:w="1950"/>
          </w:tcPr>
          <w:p>
            <w:pPr>
              <w:bidi/>
            </w:pPr>
            <w:r>
              <w:rPr>
                <w:sz w:val="19"/>
                <w:rtl w:val="1"/>
                <w:lang w:bidi="ar-SA"/>
              </w:rPr>
              <w:t>مسؤول الجدولة</w:t>
            </w:r>
          </w:p>
        </w:tc>
        <w:tc>
          <w:tcPr>
            <w:tcW w:type="dxa" w:w="1950"/>
          </w:tcPr>
          <w:p>
            <w:pPr>
              <w:bidi/>
            </w:pPr>
            <w:r>
              <w:rPr>
                <w:sz w:val="19"/>
                <w:rtl w:val="1"/>
                <w:lang w:bidi="ar-SA"/>
              </w:rPr>
              <w:t>الجدولة</w:t>
            </w:r>
          </w:p>
        </w:tc>
        <w:tc>
          <w:tcPr>
            <w:tcW w:type="dxa" w:w="1950"/>
          </w:tcPr>
          <w:p>
            <w:pPr>
              <w:bidi/>
            </w:pPr>
            <w:r>
              <w:rPr>
                <w:sz w:val="19"/>
                <w:rtl w:val="1"/>
                <w:lang w:bidi="ar-SA"/>
              </w:rPr>
              <w:t>اعتماد المشارك + موجة مفتوحة</w:t>
            </w:r>
          </w:p>
        </w:tc>
      </w:tr>
      <w:tr>
        <w:tc>
          <w:tcPr>
            <w:tcW w:type="dxa" w:w="1950"/>
          </w:tcPr>
          <w:p>
            <w:pPr>
              <w:bidi/>
            </w:pPr>
            <w:r>
              <w:rPr>
                <w:sz w:val="19"/>
                <w:rtl w:val="1"/>
                <w:lang w:bidi="ar-SA"/>
              </w:rPr>
              <w:t>٦</w:t>
            </w:r>
          </w:p>
        </w:tc>
        <w:tc>
          <w:tcPr>
            <w:tcW w:type="dxa" w:w="1950"/>
          </w:tcPr>
          <w:p>
            <w:pPr>
              <w:bidi/>
            </w:pPr>
            <w:r>
              <w:rPr>
                <w:sz w:val="19"/>
                <w:rtl w:val="1"/>
                <w:lang w:bidi="ar-SA"/>
              </w:rPr>
              <w:t>اعتماد الموجة</w:t>
            </w:r>
          </w:p>
        </w:tc>
        <w:tc>
          <w:tcPr>
            <w:tcW w:type="dxa" w:w="1950"/>
          </w:tcPr>
          <w:p>
            <w:pPr>
              <w:bidi/>
            </w:pPr>
            <w:r>
              <w:rPr>
                <w:sz w:val="19"/>
                <w:rtl w:val="1"/>
                <w:lang w:bidi="ar-SA"/>
              </w:rPr>
              <w:t>مدير المركز</w:t>
            </w:r>
          </w:p>
        </w:tc>
        <w:tc>
          <w:tcPr>
            <w:tcW w:type="dxa" w:w="1950"/>
          </w:tcPr>
          <w:p>
            <w:pPr>
              <w:bidi/>
            </w:pPr>
            <w:r>
              <w:rPr>
                <w:sz w:val="19"/>
                <w:rtl w:val="1"/>
                <w:lang w:bidi="ar-SA"/>
              </w:rPr>
              <w:t>موجات الجدولة</w:t>
            </w:r>
          </w:p>
        </w:tc>
        <w:tc>
          <w:tcPr>
            <w:tcW w:type="dxa" w:w="1950"/>
          </w:tcPr>
          <w:p>
            <w:pPr>
              <w:bidi/>
            </w:pPr>
            <w:r>
              <w:rPr>
                <w:sz w:val="19"/>
                <w:rtl w:val="1"/>
                <w:lang w:bidi="ar-SA"/>
              </w:rPr>
              <w:t>وجود جلسة واحدة على الأقل</w:t>
            </w:r>
          </w:p>
        </w:tc>
      </w:tr>
      <w:tr>
        <w:tc>
          <w:tcPr>
            <w:tcW w:type="dxa" w:w="1950"/>
          </w:tcPr>
          <w:p>
            <w:pPr>
              <w:bidi/>
            </w:pPr>
            <w:r>
              <w:rPr>
                <w:sz w:val="19"/>
                <w:rtl w:val="1"/>
                <w:lang w:bidi="ar-SA"/>
              </w:rPr>
              <w:t>٧</w:t>
            </w:r>
          </w:p>
        </w:tc>
        <w:tc>
          <w:tcPr>
            <w:tcW w:type="dxa" w:w="1950"/>
          </w:tcPr>
          <w:p>
            <w:pPr>
              <w:bidi/>
            </w:pPr>
            <w:r>
              <w:rPr>
                <w:sz w:val="19"/>
                <w:rtl w:val="1"/>
                <w:lang w:bidi="ar-SA"/>
              </w:rPr>
              <w:t>التنفيذ: استقبال ثم تقييم</w:t>
            </w:r>
          </w:p>
        </w:tc>
        <w:tc>
          <w:tcPr>
            <w:tcW w:type="dxa" w:w="1950"/>
          </w:tcPr>
          <w:p>
            <w:pPr>
              <w:bidi/>
            </w:pPr>
            <w:r>
              <w:rPr>
                <w:sz w:val="19"/>
                <w:rtl w:val="1"/>
                <w:lang w:bidi="ar-SA"/>
              </w:rPr>
              <w:t>الاستقبال ثم المقيّم</w:t>
            </w:r>
          </w:p>
        </w:tc>
        <w:tc>
          <w:tcPr>
            <w:tcW w:type="dxa" w:w="1950"/>
          </w:tcPr>
          <w:p>
            <w:pPr>
              <w:bidi/>
            </w:pPr>
            <w:r>
              <w:rPr>
                <w:sz w:val="19"/>
                <w:rtl w:val="1"/>
                <w:lang w:bidi="ar-SA"/>
              </w:rPr>
              <w:t>الاستقبال / التقييم</w:t>
            </w:r>
          </w:p>
        </w:tc>
        <w:tc>
          <w:tcPr>
            <w:tcW w:type="dxa" w:w="1950"/>
          </w:tcPr>
          <w:p>
            <w:pPr>
              <w:bidi/>
            </w:pPr>
            <w:r>
              <w:rPr>
                <w:sz w:val="19"/>
                <w:rtl w:val="1"/>
                <w:lang w:bidi="ar-SA"/>
              </w:rPr>
              <w:t>حلول يوم الجلسة</w:t>
            </w:r>
          </w:p>
        </w:tc>
      </w:tr>
    </w:tbl>
    <w:p/>
    <w:p>
      <w:pPr>
        <w:bidi/>
        <w:ind w:left="360" w:right="216"/>
        <w:shd w:val="clear" w:color="auto" w:fill="FFF8E6"/>
      </w:pPr>
      <w:r>
        <w:rPr>
          <w:b/>
          <w:sz w:val="21"/>
          <w:rtl w:val="1"/>
          <w:lang w:bidi="ar-SA"/>
        </w:rPr>
        <w:t>قاعدةٌ تحكم المسار كلّه:</w:t>
      </w:r>
      <w:r>
        <w:rPr>
          <w:sz w:val="21"/>
          <w:rtl w:val="1"/>
          <w:lang w:bidi="ar-SA"/>
        </w:rPr>
        <w:t xml:space="preserve"> الجدولة </w:t>
      </w:r>
      <w:r>
        <w:rPr>
          <w:b/>
          <w:sz w:val="21"/>
          <w:rtl w:val="1"/>
          <w:lang w:bidi="ar-SA"/>
        </w:rPr>
        <w:t>يدوية</w:t>
      </w:r>
      <w:r>
        <w:rPr>
          <w:sz w:val="21"/>
          <w:rtl w:val="1"/>
          <w:lang w:bidi="ar-SA"/>
        </w:rPr>
        <w:t>. المنصّة لا توزّع المشاركين على المقيّمين من تلقاء نفسها — المستخدم يختار الأسماء والمواعيد، والنظام يمنع الخطأ ولا يتّخذ القرار.</w:t>
      </w:r>
    </w:p>
    <w:p>
      <w:pPr>
        <w:pStyle w:val="Heading1"/>
        <w:pageBreakBefore/>
        <w:bidi/>
      </w:pPr>
      <w:r>
        <w:rPr>
          <w:rtl w:val="1"/>
          <w:lang w:bidi="ar-SA"/>
        </w:rPr>
        <w:t>١. الدخول إلى المنصّة</w:t>
      </w:r>
    </w:p>
    <w:p>
      <w:pPr>
        <w:bidi/>
      </w:pPr>
      <w:r>
        <w:rPr>
          <w:rtl w:val="1"/>
          <w:lang w:bidi="ar-SA"/>
        </w:rPr>
        <w:t>كل مستخدم يدخل بحسابه، وما يراه بعد الدخول يتبع دوره: القائمة الجانبية تُبنى من صلاحياته، فلا تظهر له شاشةٌ لا يملكها.</w:t>
      </w:r>
    </w:p>
    <w:p>
      <w:pPr>
        <w:jc w:val="center"/>
      </w:pPr>
      <w:r>
        <w:drawing>
          <wp:inline xmlns:a="http://schemas.openxmlformats.org/drawingml/2006/main" xmlns:pic="http://schemas.openxmlformats.org/drawingml/2006/picture">
            <wp:extent cx="5852160" cy="3677107"/>
            <wp:docPr id="1" name="Picture 1"/>
            <wp:cNvGraphicFramePr>
              <a:graphicFrameLocks noChangeAspect="1"/>
            </wp:cNvGraphicFramePr>
            <a:graphic>
              <a:graphicData uri="http://schemas.openxmlformats.org/drawingml/2006/picture">
                <pic:pic>
                  <pic:nvPicPr>
                    <pic:cNvPr id="0" name="login.jpg"/>
                    <pic:cNvPicPr/>
                  </pic:nvPicPr>
                  <pic:blipFill>
                    <a:blip r:embed="rId10"/>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الدخول</w:t>
      </w:r>
    </w:p>
    <w:p>
      <w:pPr>
        <w:pStyle w:val="Heading1"/>
        <w:pageBreakBefore/>
        <w:bidi/>
      </w:pPr>
      <w:r>
        <w:rPr>
          <w:rtl w:val="1"/>
          <w:lang w:bidi="ar-SA"/>
        </w:rPr>
        <w:t>٢. إضافة المشارك</w:t>
      </w:r>
    </w:p>
    <w:p>
      <w:pPr>
        <w:bidi/>
      </w:pPr>
      <w:r>
        <w:rPr>
          <w:rtl w:val="1"/>
          <w:lang w:bidi="ar-SA"/>
        </w:rPr>
        <w:t xml:space="preserve">للإضافة طريقان، والفرق بينهما </w:t>
      </w:r>
      <w:r>
        <w:rPr>
          <w:b/>
          <w:rtl w:val="1"/>
          <w:lang w:bidi="ar-SA"/>
        </w:rPr>
        <w:t>من يُدخل البيانات</w:t>
      </w:r>
      <w:r>
        <w:rPr>
          <w:rtl w:val="1"/>
          <w:lang w:bidi="ar-SA"/>
        </w:rPr>
        <w:t>:</w:t>
      </w:r>
    </w:p>
    <w:p>
      <w:pPr>
        <w:pStyle w:val="Heading2"/>
        <w:bidi/>
      </w:pPr>
      <w:r>
        <w:rPr>
          <w:rtl w:val="1"/>
          <w:lang w:bidi="ar-SA"/>
        </w:rPr>
        <w:t>أ) المستخدم الخارجي يرشّح بنفسه</w:t>
      </w:r>
    </w:p>
    <w:p>
      <w:pPr>
        <w:bidi/>
      </w:pPr>
      <w:r>
        <w:rPr>
          <w:rtl w:val="1"/>
          <w:lang w:bidi="ar-SA"/>
        </w:rPr>
        <w:t>الجهة تُدخل مرشّحيها عبر حساب «مستخدم خارجي» — أدنى صلاحية في المنصّة: يُضيف ولا يرى غير ما أضاف.</w:t>
      </w:r>
    </w:p>
    <w:p>
      <w:pPr>
        <w:jc w:val="center"/>
      </w:pPr>
      <w:r>
        <w:drawing>
          <wp:inline xmlns:a="http://schemas.openxmlformats.org/drawingml/2006/main" xmlns:pic="http://schemas.openxmlformats.org/drawingml/2006/picture">
            <wp:extent cx="5852160" cy="3677107"/>
            <wp:docPr id="2" name="Picture 2"/>
            <wp:cNvGraphicFramePr>
              <a:graphicFrameLocks noChangeAspect="1"/>
            </wp:cNvGraphicFramePr>
            <a:graphic>
              <a:graphicData uri="http://schemas.openxmlformats.org/drawingml/2006/picture">
                <pic:pic>
                  <pic:nvPicPr>
                    <pic:cNvPr id="0" name="nominate.jpg"/>
                    <pic:cNvPicPr/>
                  </pic:nvPicPr>
                  <pic:blipFill>
                    <a:blip r:embed="rId1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استمارة ترشيح مشارك</w:t>
      </w:r>
    </w:p>
    <w:p>
      <w:pPr>
        <w:bidi/>
      </w:pPr>
      <w:r>
        <w:rPr>
          <w:rtl w:val="1"/>
          <w:lang w:bidi="ar-SA"/>
        </w:rPr>
        <w:t>النموذج يجمع البيانات الشخصية والوظيفية والمؤهّلات. وما يمنعه النظام هنا: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المنع</w:t>
            </w:r>
          </w:p>
        </w:tc>
        <w:tc>
          <w:tcPr>
            <w:tcW w:type="dxa" w:w="4874"/>
            <w:shd w:val="clear" w:color="auto" w:fill="EAF5EF"/>
          </w:tcPr>
          <w:p>
            <w:pPr>
              <w:bidi/>
            </w:pPr>
            <w:r>
              <w:rPr>
                <w:b/>
                <w:sz w:val="19"/>
              </w:rPr>
            </w:r>
            <w:r>
              <w:rPr>
                <w:b/>
                <w:sz w:val="19"/>
                <w:rtl w:val="1"/>
                <w:lang w:bidi="ar-SA"/>
              </w:rPr>
              <w:t>السبب</w:t>
            </w:r>
          </w:p>
        </w:tc>
      </w:tr>
      <w:tr>
        <w:tc>
          <w:tcPr>
            <w:tcW w:type="dxa" w:w="4874"/>
          </w:tcPr>
          <w:p>
            <w:pPr>
              <w:bidi/>
            </w:pPr>
            <w:r>
              <w:rPr>
                <w:sz w:val="19"/>
                <w:rtl w:val="1"/>
                <w:lang w:bidi="ar-SA"/>
              </w:rPr>
              <w:t>هوية مسجَّلة مسبقاً</w:t>
            </w:r>
          </w:p>
        </w:tc>
        <w:tc>
          <w:tcPr>
            <w:tcW w:type="dxa" w:w="4874"/>
          </w:tcPr>
          <w:p>
            <w:pPr>
              <w:bidi/>
            </w:pPr>
            <w:r>
              <w:rPr>
                <w:sz w:val="19"/>
                <w:rtl w:val="1"/>
                <w:lang w:bidi="ar-SA"/>
              </w:rPr>
              <w:t>يُردّ بإيصال «هذا المشارك مُضاف مسبقاً» مع تاريخ تسجيله — ولا يُنشأ صفٌّ ثانٍ</w:t>
            </w:r>
          </w:p>
        </w:tc>
      </w:tr>
      <w:tr>
        <w:tc>
          <w:tcPr>
            <w:tcW w:type="dxa" w:w="4874"/>
          </w:tcPr>
          <w:p>
            <w:pPr>
              <w:bidi/>
            </w:pPr>
            <w:r>
              <w:rPr>
                <w:sz w:val="19"/>
                <w:rtl w:val="1"/>
                <w:lang w:bidi="ar-SA"/>
              </w:rPr>
              <w:t>حقل إلزامي فارغ</w:t>
            </w:r>
          </w:p>
        </w:tc>
        <w:tc>
          <w:tcPr>
            <w:tcW w:type="dxa" w:w="4874"/>
          </w:tcPr>
          <w:p>
            <w:pPr>
              <w:bidi/>
            </w:pPr>
            <w:r>
              <w:rPr>
                <w:sz w:val="19"/>
                <w:rtl w:val="1"/>
                <w:lang w:bidi="ar-SA"/>
              </w:rPr>
              <w:t>شريط خطأ أعلى الاستمارة وحدود حمراء على الخانات الناقصة</w:t>
            </w:r>
          </w:p>
        </w:tc>
      </w:tr>
      <w:tr>
        <w:tc>
          <w:tcPr>
            <w:tcW w:type="dxa" w:w="4874"/>
          </w:tcPr>
          <w:p>
            <w:pPr>
              <w:bidi/>
            </w:pPr>
            <w:r>
              <w:rPr>
                <w:sz w:val="19"/>
                <w:rtl w:val="1"/>
                <w:lang w:bidi="ar-SA"/>
              </w:rPr>
              <w:t>تصنيف أمني بلا صلاحية</w:t>
            </w:r>
          </w:p>
        </w:tc>
        <w:tc>
          <w:tcPr>
            <w:tcW w:type="dxa" w:w="4874"/>
          </w:tcPr>
          <w:p>
            <w:pPr>
              <w:bidi/>
            </w:pPr>
            <w:r>
              <w:rPr>
                <w:sz w:val="19"/>
                <w:rtl w:val="1"/>
                <w:lang w:bidi="ar-SA"/>
              </w:rPr>
              <w:t xml:space="preserve">تعيين «سرّي» يحتاج </w:t>
            </w:r>
            <w:r>
              <w:rPr>
                <w:rFonts w:ascii="Consolas" w:hAnsi="Consolas"/>
                <w:sz w:val="19"/>
                <w:rFonts w:ascii="Consolas" w:hAnsi="Consolas" w:cs="Consolas"/>
                <w:rtl w:val="0"/>
                <w:lang w:bidi="ar-SA"/>
              </w:rPr>
              <w:t>candidate.view_classified</w:t>
            </w:r>
          </w:p>
        </w:tc>
      </w:tr>
    </w:tbl>
    <w:p/>
    <w:p>
      <w:pPr>
        <w:pStyle w:val="Heading2"/>
        <w:bidi/>
      </w:pPr>
      <w:r>
        <w:rPr>
          <w:rtl w:val="1"/>
          <w:lang w:bidi="ar-SA"/>
        </w:rPr>
        <w:t>ب) مسؤول الجدولة يضيف مباشرة</w:t>
      </w:r>
    </w:p>
    <w:p>
      <w:pPr>
        <w:bidi/>
      </w:pPr>
      <w:r>
        <w:rPr>
          <w:rtl w:val="1"/>
          <w:lang w:bidi="ar-SA"/>
        </w:rPr>
        <w:t>من شاشة «المشاركون» بزرّ الإضافة — نفس الحقول، لكن بيد موظّف المركز.</w:t>
      </w:r>
    </w:p>
    <w:p>
      <w:pPr>
        <w:jc w:val="center"/>
      </w:pPr>
      <w:r>
        <w:drawing>
          <wp:inline xmlns:a="http://schemas.openxmlformats.org/drawingml/2006/main" xmlns:pic="http://schemas.openxmlformats.org/drawingml/2006/picture">
            <wp:extent cx="5669584" cy="6949439"/>
            <wp:docPr id="3" name="Picture 3"/>
            <wp:cNvGraphicFramePr>
              <a:graphicFrameLocks noChangeAspect="1"/>
            </wp:cNvGraphicFramePr>
            <a:graphic>
              <a:graphicData uri="http://schemas.openxmlformats.org/drawingml/2006/picture">
                <pic:pic>
                  <pic:nvPicPr>
                    <pic:cNvPr id="0" name="candidates-add.jpg"/>
                    <pic:cNvPicPr/>
                  </pic:nvPicPr>
                  <pic:blipFill>
                    <a:blip r:embed="rId12"/>
                    <a:stretch>
                      <a:fillRect/>
                    </a:stretch>
                  </pic:blipFill>
                  <pic:spPr>
                    <a:xfrm>
                      <a:off x="0" y="0"/>
                      <a:ext cx="5669584" cy="6949439"/>
                    </a:xfrm>
                    <a:prstGeom prst="rect"/>
                  </pic:spPr>
                </pic:pic>
              </a:graphicData>
            </a:graphic>
          </wp:inline>
        </w:drawing>
      </w:r>
    </w:p>
    <w:p>
      <w:pPr>
        <w:jc w:val="center"/>
        <w:bidi/>
      </w:pPr>
      <w:r>
        <w:rPr>
          <w:i/>
          <w:color w:val="6B7F74"/>
          <w:sz w:val="18"/>
          <w:rtl w:val="1"/>
          <w:lang w:bidi="ar-SA"/>
        </w:rPr>
        <w:t>نافذة إضافة مشارك</w:t>
      </w:r>
    </w:p>
    <w:p>
      <w:pPr>
        <w:bidi/>
      </w:pPr>
      <w:r>
        <w:rPr>
          <w:b/>
          <w:rtl w:val="1"/>
          <w:lang w:bidi="ar-SA"/>
        </w:rPr>
        <w:t>الفئة تغيّر النموذج</w:t>
      </w:r>
      <w:r>
        <w:rPr>
          <w:rtl w:val="1"/>
          <w:lang w:bidi="ar-SA"/>
        </w:rPr>
        <w:t>: اختيار «متعاقد» يبدّل حقل الرتبة إلى مسمّى وظيفي حرّ ويُظهر الفئة القيادية — فالنموذج يتبع الفئة ولا يفرض عليها حقولاً لا تخصّها.</w:t>
      </w:r>
    </w:p>
    <w:p>
      <w:pPr>
        <w:pStyle w:val="Heading1"/>
        <w:pageBreakBefore/>
        <w:bidi/>
      </w:pPr>
      <w:r>
        <w:rPr>
          <w:rtl w:val="1"/>
          <w:lang w:bidi="ar-SA"/>
        </w:rPr>
        <w:t>٣. اعتماد الترشيح</w:t>
      </w:r>
    </w:p>
    <w:p>
      <w:pPr>
        <w:bidi/>
      </w:pPr>
      <w:r>
        <w:rPr>
          <w:rtl w:val="1"/>
          <w:lang w:bidi="ar-SA"/>
        </w:rPr>
        <w:t xml:space="preserve">المشارك المُضاف يقع في حالة </w:t>
      </w:r>
      <w:r>
        <w:rPr>
          <w:b/>
          <w:rtl w:val="1"/>
          <w:lang w:bidi="ar-SA"/>
        </w:rPr>
        <w:t>«مسودة»</w:t>
      </w:r>
      <w:r>
        <w:rPr>
          <w:rtl w:val="1"/>
          <w:lang w:bidi="ar-SA"/>
        </w:rPr>
        <w:t>، ولا يُجدوَل قبل اعتماده.</w:t>
      </w:r>
    </w:p>
    <w:p>
      <w:pPr>
        <w:jc w:val="center"/>
      </w:pPr>
      <w:r>
        <w:drawing>
          <wp:inline xmlns:a="http://schemas.openxmlformats.org/drawingml/2006/main" xmlns:pic="http://schemas.openxmlformats.org/drawingml/2006/picture">
            <wp:extent cx="5852160" cy="3677107"/>
            <wp:docPr id="4" name="Picture 4"/>
            <wp:cNvGraphicFramePr>
              <a:graphicFrameLocks noChangeAspect="1"/>
            </wp:cNvGraphicFramePr>
            <a:graphic>
              <a:graphicData uri="http://schemas.openxmlformats.org/drawingml/2006/picture">
                <pic:pic>
                  <pic:nvPicPr>
                    <pic:cNvPr id="0" name="candidates.jpg"/>
                    <pic:cNvPicPr/>
                  </pic:nvPicPr>
                  <pic:blipFill>
                    <a:blip r:embed="rId1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w:t>
      </w:r>
    </w:p>
    <w:p>
      <w:pPr>
        <w:bidi/>
      </w:pPr>
      <w:r>
        <w:rPr>
          <w:rtl w:val="1"/>
          <w:lang w:bidi="ar-SA"/>
        </w:rPr>
        <w:t xml:space="preserve">القائمة تُبنى </w:t>
      </w:r>
      <w:r>
        <w:rPr>
          <w:b/>
          <w:rtl w:val="1"/>
          <w:lang w:bidi="ar-SA"/>
        </w:rPr>
        <w:t>بالرموز لا بالأسماء</w:t>
      </w:r>
      <w:r>
        <w:rPr>
          <w:rtl w:val="1"/>
          <w:lang w:bidi="ar-SA"/>
        </w:rPr>
        <w:t xml:space="preserve"> (</w:t>
      </w:r>
      <w:r>
        <w:rPr>
          <w:rFonts w:ascii="Consolas" w:hAnsi="Consolas"/>
          <w:sz w:val="19"/>
          <w:rFonts w:ascii="Consolas" w:hAnsi="Consolas" w:cs="Consolas"/>
          <w:rtl w:val="0"/>
          <w:lang w:bidi="ar-SA"/>
        </w:rPr>
        <w:t>DM-029</w:t>
      </w:r>
      <w:r>
        <w:rPr>
          <w:rtl w:val="1"/>
          <w:lang w:bidi="ar-SA"/>
        </w:rPr>
        <w:t xml:space="preserve"> مثلاً): الاسم يُقرأ في بطاقة التفاصيل لمن يملك </w:t>
      </w:r>
      <w:r>
        <w:rPr>
          <w:rFonts w:ascii="Consolas" w:hAnsi="Consolas"/>
          <w:sz w:val="19"/>
          <w:rFonts w:ascii="Consolas" w:hAnsi="Consolas" w:cs="Consolas"/>
          <w:rtl w:val="0"/>
          <w:lang w:bidi="ar-SA"/>
        </w:rPr>
        <w:t>candidate.view_names</w:t>
      </w:r>
      <w:r>
        <w:rPr>
          <w:rtl w:val="1"/>
          <w:lang w:bidi="ar-SA"/>
        </w:rPr>
        <w:t xml:space="preserve"> وحده، وفتحه يُكتب في سجل التدقيق.</w:t>
      </w:r>
    </w:p>
    <w:p>
      <w:pPr>
        <w:jc w:val="center"/>
      </w:pPr>
      <w:r>
        <w:drawing>
          <wp:inline xmlns:a="http://schemas.openxmlformats.org/drawingml/2006/main" xmlns:pic="http://schemas.openxmlformats.org/drawingml/2006/picture">
            <wp:extent cx="4546092" cy="6949440"/>
            <wp:docPr id="5" name="Picture 5"/>
            <wp:cNvGraphicFramePr>
              <a:graphicFrameLocks noChangeAspect="1"/>
            </wp:cNvGraphicFramePr>
            <a:graphic>
              <a:graphicData uri="http://schemas.openxmlformats.org/drawingml/2006/picture">
                <pic:pic>
                  <pic:nvPicPr>
                    <pic:cNvPr id="0" name="candidates-details.jpg"/>
                    <pic:cNvPicPr/>
                  </pic:nvPicPr>
                  <pic:blipFill>
                    <a:blip r:embed="rId14"/>
                    <a:stretch>
                      <a:fillRect/>
                    </a:stretch>
                  </pic:blipFill>
                  <pic:spPr>
                    <a:xfrm>
                      <a:off x="0" y="0"/>
                      <a:ext cx="4546092" cy="6949440"/>
                    </a:xfrm>
                    <a:prstGeom prst="rect"/>
                  </pic:spPr>
                </pic:pic>
              </a:graphicData>
            </a:graphic>
          </wp:inline>
        </w:drawing>
      </w:r>
    </w:p>
    <w:p>
      <w:pPr>
        <w:jc w:val="center"/>
        <w:bidi/>
      </w:pPr>
      <w:r>
        <w:rPr>
          <w:i/>
          <w:color w:val="6B7F74"/>
          <w:sz w:val="18"/>
          <w:rtl w:val="1"/>
          <w:lang w:bidi="ar-SA"/>
        </w:rPr>
        <w:t>تفاصيل المشارك</w:t>
      </w:r>
    </w:p>
    <w:p>
      <w:pPr>
        <w:bidi/>
        <w:ind w:left="360" w:right="216"/>
        <w:shd w:val="clear" w:color="auto" w:fill="FFF8E6"/>
      </w:pPr>
      <w:r>
        <w:rPr>
          <w:sz w:val="21"/>
          <w:rtl w:val="1"/>
          <w:lang w:bidi="ar-SA"/>
        </w:rPr>
        <w:t xml:space="preserve">⚠ </w:t>
      </w:r>
      <w:r>
        <w:rPr>
          <w:b/>
          <w:sz w:val="21"/>
          <w:rtl w:val="1"/>
          <w:lang w:bidi="ar-SA"/>
        </w:rPr>
        <w:t>الاعتماد من «مسودة» فقط.</w:t>
      </w:r>
      <w:r>
        <w:rPr>
          <w:sz w:val="21"/>
          <w:rtl w:val="1"/>
          <w:lang w:bidi="ar-SA"/>
        </w:rPr>
        <w:t xml:space="preserve"> اعتماد مشاركٍ غادر المسودة مرفوض — كيلا يُعيد اعتمادٌ متأخّر دورةً مكتملة إلى «مجدول».</w:t>
      </w:r>
    </w:p>
    <w:p>
      <w:pPr>
        <w:bidi/>
      </w:pPr>
      <w:r>
        <w:rPr>
          <w:rtl w:val="1"/>
          <w:lang w:bidi="ar-SA"/>
        </w:rPr>
        <w:t xml:space="preserve">بعد الاعتماد تصير حالته </w:t>
      </w:r>
      <w:r>
        <w:rPr>
          <w:b/>
          <w:rtl w:val="1"/>
          <w:lang w:bidi="ar-SA"/>
        </w:rPr>
        <w:t>«مجدول»</w:t>
      </w:r>
      <w:r>
        <w:rPr>
          <w:rtl w:val="1"/>
          <w:lang w:bidi="ar-SA"/>
        </w:rPr>
        <w:t xml:space="preserve"> ويظهر في قوائم الجدولة.</w:t>
      </w:r>
    </w:p>
    <w:p>
      <w:pPr>
        <w:pStyle w:val="Heading1"/>
        <w:pageBreakBefore/>
        <w:bidi/>
      </w:pPr>
      <w:r>
        <w:rPr>
          <w:rtl w:val="1"/>
          <w:lang w:bidi="ar-SA"/>
        </w:rPr>
        <w:t>٤. إنشاء موجة الجدولة</w:t>
      </w:r>
    </w:p>
    <w:p>
      <w:pPr>
        <w:bidi/>
      </w:pPr>
      <w:r>
        <w:rPr>
          <w:b/>
          <w:rtl w:val="1"/>
          <w:lang w:bidi="ar-SA"/>
        </w:rPr>
        <w:t>الموجة</w:t>
      </w:r>
      <w:r>
        <w:rPr>
          <w:rtl w:val="1"/>
          <w:lang w:bidi="ar-SA"/>
        </w:rPr>
        <w:t xml:space="preserve"> هي الدورة: مدىً من التواريخ، وأسماءٌ تعمل فيه، وحالةُ اعتماد. وهي </w:t>
      </w:r>
      <w:r>
        <w:rPr>
          <w:b/>
          <w:rtl w:val="1"/>
          <w:lang w:bidi="ar-SA"/>
        </w:rPr>
        <w:t>وحدة الاعتماد</w:t>
      </w:r>
      <w:r>
        <w:rPr>
          <w:rtl w:val="1"/>
          <w:lang w:bidi="ar-SA"/>
        </w:rPr>
        <w:t xml:space="preserve"> في المنصّة — ما يعتمده مدير المركز ليس جلسةً بعينها بل الموجة بكل جلساتها.</w:t>
      </w:r>
    </w:p>
    <w:p>
      <w:pPr>
        <w:jc w:val="center"/>
      </w:pPr>
      <w:r>
        <w:drawing>
          <wp:inline xmlns:a="http://schemas.openxmlformats.org/drawingml/2006/main" xmlns:pic="http://schemas.openxmlformats.org/drawingml/2006/picture">
            <wp:extent cx="5852160" cy="3676952"/>
            <wp:docPr id="6" name="Picture 6"/>
            <wp:cNvGraphicFramePr>
              <a:graphicFrameLocks noChangeAspect="1"/>
            </wp:cNvGraphicFramePr>
            <a:graphic>
              <a:graphicData uri="http://schemas.openxmlformats.org/drawingml/2006/picture">
                <pic:pic>
                  <pic:nvPicPr>
                    <pic:cNvPr id="0" name="periods.png"/>
                    <pic:cNvPicPr/>
                  </pic:nvPicPr>
                  <pic:blipFill>
                    <a:blip r:embed="rId15"/>
                    <a:stretch>
                      <a:fillRect/>
                    </a:stretch>
                  </pic:blipFill>
                  <pic:spPr>
                    <a:xfrm>
                      <a:off x="0" y="0"/>
                      <a:ext cx="5852160" cy="3676952"/>
                    </a:xfrm>
                    <a:prstGeom prst="rect"/>
                  </pic:spPr>
                </pic:pic>
              </a:graphicData>
            </a:graphic>
          </wp:inline>
        </w:drawing>
      </w:r>
    </w:p>
    <w:p>
      <w:pPr>
        <w:jc w:val="center"/>
        <w:bidi/>
      </w:pPr>
      <w:r>
        <w:rPr>
          <w:i/>
          <w:color w:val="6B7F74"/>
          <w:sz w:val="18"/>
          <w:rtl w:val="1"/>
          <w:lang w:bidi="ar-SA"/>
        </w:rPr>
        <w:t>موجات الجدولة</w:t>
      </w:r>
    </w:p>
    <w:p>
      <w:pPr>
        <w:bidi/>
      </w:pPr>
      <w:r>
        <w:rPr>
          <w:rtl w:val="1"/>
          <w:lang w:bidi="ar-SA"/>
        </w:rPr>
        <w:t>الشاشة تعرض لكل موجة: مداها، وعدد أيامها، وعدد الأسماء المُدرَجة، وعدد جلساتها، وحالتها.</w:t>
      </w:r>
    </w:p>
    <w:p>
      <w:pPr>
        <w:jc w:val="center"/>
      </w:pPr>
      <w:r>
        <w:drawing>
          <wp:inline xmlns:a="http://schemas.openxmlformats.org/drawingml/2006/main" xmlns:pic="http://schemas.openxmlformats.org/drawingml/2006/picture">
            <wp:extent cx="5852160" cy="5334469"/>
            <wp:docPr id="7" name="Picture 7"/>
            <wp:cNvGraphicFramePr>
              <a:graphicFrameLocks noChangeAspect="1"/>
            </wp:cNvGraphicFramePr>
            <a:graphic>
              <a:graphicData uri="http://schemas.openxmlformats.org/drawingml/2006/picture">
                <pic:pic>
                  <pic:nvPicPr>
                    <pic:cNvPr id="0" name="periods-new.png"/>
                    <pic:cNvPicPr/>
                  </pic:nvPicPr>
                  <pic:blipFill>
                    <a:blip r:embed="rId16"/>
                    <a:stretch>
                      <a:fillRect/>
                    </a:stretch>
                  </pic:blipFill>
                  <pic:spPr>
                    <a:xfrm>
                      <a:off x="0" y="0"/>
                      <a:ext cx="5852160" cy="5334469"/>
                    </a:xfrm>
                    <a:prstGeom prst="rect"/>
                  </pic:spPr>
                </pic:pic>
              </a:graphicData>
            </a:graphic>
          </wp:inline>
        </w:drawing>
      </w:r>
    </w:p>
    <w:p>
      <w:pPr>
        <w:jc w:val="center"/>
        <w:bidi/>
      </w:pPr>
      <w:r>
        <w:rPr>
          <w:i/>
          <w:color w:val="6B7F74"/>
          <w:sz w:val="18"/>
          <w:rtl w:val="1"/>
          <w:lang w:bidi="ar-SA"/>
        </w:rPr>
        <w:t>نافذة موجة جديدة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ملاحظة</w:t>
            </w:r>
          </w:p>
        </w:tc>
      </w:tr>
      <w:tr>
        <w:tc>
          <w:tcPr>
            <w:tcW w:type="dxa" w:w="4874"/>
          </w:tcPr>
          <w:p>
            <w:pPr>
              <w:bidi/>
            </w:pPr>
            <w:r>
              <w:rPr>
                <w:b/>
                <w:sz w:val="19"/>
                <w:rtl w:val="1"/>
                <w:lang w:bidi="ar-SA"/>
              </w:rPr>
              <w:t>الاسم</w:t>
            </w:r>
          </w:p>
        </w:tc>
        <w:tc>
          <w:tcPr>
            <w:tcW w:type="dxa" w:w="4874"/>
          </w:tcPr>
          <w:p>
            <w:pPr>
              <w:bidi/>
            </w:pPr>
            <w:r>
              <w:rPr>
                <w:sz w:val="19"/>
                <w:rtl w:val="1"/>
                <w:lang w:bidi="ar-SA"/>
              </w:rPr>
              <w:t>فريد — وهو ما يُطبع على المستند الذاهب إلى الجهة، فتكراره خطأ إدخال</w:t>
            </w:r>
          </w:p>
        </w:tc>
      </w:tr>
      <w:tr>
        <w:tc>
          <w:tcPr>
            <w:tcW w:type="dxa" w:w="4874"/>
          </w:tcPr>
          <w:p>
            <w:pPr>
              <w:bidi/>
            </w:pPr>
            <w:r>
              <w:rPr>
                <w:b/>
                <w:sz w:val="19"/>
                <w:rtl w:val="1"/>
                <w:lang w:bidi="ar-SA"/>
              </w:rPr>
              <w:t>تاريخا البداية والنهاية</w:t>
            </w:r>
          </w:p>
        </w:tc>
        <w:tc>
          <w:tcPr>
            <w:tcW w:type="dxa" w:w="4874"/>
          </w:tcPr>
          <w:p>
            <w:pPr>
              <w:bidi/>
            </w:pPr>
            <w:r>
              <w:rPr>
                <w:sz w:val="19"/>
                <w:rtl w:val="1"/>
                <w:lang w:bidi="ar-SA"/>
              </w:rPr>
              <w:t>المدى الأقصى ١٢٠ يوماً — سقفٌ يكشف خطأ إدخال السنة</w:t>
            </w:r>
          </w:p>
        </w:tc>
      </w:tr>
      <w:tr>
        <w:tc>
          <w:tcPr>
            <w:tcW w:type="dxa" w:w="4874"/>
          </w:tcPr>
          <w:p>
            <w:pPr>
              <w:bidi/>
            </w:pPr>
            <w:r>
              <w:rPr>
                <w:b/>
                <w:sz w:val="19"/>
                <w:rtl w:val="1"/>
                <w:lang w:bidi="ar-SA"/>
              </w:rPr>
              <w:t>أوقات الجلسات</w:t>
            </w:r>
          </w:p>
        </w:tc>
        <w:tc>
          <w:tcPr>
            <w:tcW w:type="dxa" w:w="4874"/>
          </w:tcPr>
          <w:p>
            <w:pPr>
              <w:bidi/>
            </w:pPr>
            <w:r>
              <w:rPr>
                <w:sz w:val="19"/>
                <w:rtl w:val="1"/>
                <w:lang w:bidi="ar-SA"/>
              </w:rPr>
              <w:t xml:space="preserve">تُترك فارغة فتُقرأ من الإعداد العام؛ وتُكتب </w:t>
            </w:r>
            <w:r>
              <w:rPr>
                <w:rFonts w:ascii="Consolas" w:hAnsi="Consolas"/>
                <w:sz w:val="19"/>
                <w:rFonts w:ascii="Consolas" w:hAnsi="Consolas" w:cs="Consolas"/>
                <w:rtl w:val="0"/>
                <w:lang w:bidi="ar-SA"/>
              </w:rPr>
              <w:t>HH:MM</w:t>
            </w:r>
            <w:r>
              <w:rPr>
                <w:sz w:val="19"/>
                <w:rtl w:val="1"/>
                <w:lang w:bidi="ar-SA"/>
              </w:rPr>
              <w:t xml:space="preserve"> مفصولة بفاصلة لموجةٍ لها أوقاتها</w:t>
            </w:r>
          </w:p>
        </w:tc>
      </w:tr>
    </w:tbl>
    <w:p/>
    <w:p>
      <w:pPr>
        <w:bidi/>
        <w:ind w:left="360" w:right="216"/>
        <w:shd w:val="clear" w:color="auto" w:fill="FFF8E6"/>
      </w:pPr>
      <w:r>
        <w:rPr>
          <w:sz w:val="21"/>
          <w:rtl w:val="1"/>
          <w:lang w:bidi="ar-SA"/>
        </w:rPr>
        <w:t>موجتان قد تتداخلان عمداً — قطاعٌ صباحاً وآخر مساءً، أو دورة تعويضية داخل دورة. لا قيد على تداخل التواريخ.</w:t>
      </w:r>
    </w:p>
    <w:p>
      <w:pPr>
        <w:pStyle w:val="Heading1"/>
        <w:pageBreakBefore/>
        <w:bidi/>
      </w:pPr>
      <w:r>
        <w:rPr>
          <w:rtl w:val="1"/>
          <w:lang w:bidi="ar-SA"/>
        </w:rPr>
        <w:t>٥. اختيار المقيّمين وتحديد النصاب</w:t>
      </w:r>
    </w:p>
    <w:p>
      <w:pPr>
        <w:bidi/>
      </w:pPr>
      <w:r>
        <w:rPr>
          <w:rtl w:val="1"/>
          <w:lang w:bidi="ar-SA"/>
        </w:rPr>
        <w:t xml:space="preserve">بعد إنشاء الموجة يُفتح زرّ </w:t>
      </w:r>
      <w:r>
        <w:rPr>
          <w:b/>
          <w:rtl w:val="1"/>
          <w:lang w:bidi="ar-SA"/>
        </w:rPr>
        <w:t>«اللوحة»</w:t>
      </w:r>
      <w:r>
        <w:rPr>
          <w:rtl w:val="1"/>
          <w:lang w:bidi="ar-SA"/>
        </w:rPr>
        <w:t>: من يعمل في هذه الموجة، وفي أي نشاط، وعلى أي مقعد، وبأي نصاب.</w:t>
      </w:r>
    </w:p>
    <w:p>
      <w:pPr>
        <w:jc w:val="center"/>
      </w:pPr>
      <w:r>
        <w:drawing>
          <wp:inline xmlns:a="http://schemas.openxmlformats.org/drawingml/2006/main" xmlns:pic="http://schemas.openxmlformats.org/drawingml/2006/picture">
            <wp:extent cx="5852160" cy="1685031"/>
            <wp:docPr id="8" name="Picture 8"/>
            <wp:cNvGraphicFramePr>
              <a:graphicFrameLocks noChangeAspect="1"/>
            </wp:cNvGraphicFramePr>
            <a:graphic>
              <a:graphicData uri="http://schemas.openxmlformats.org/drawingml/2006/picture">
                <pic:pic>
                  <pic:nvPicPr>
                    <pic:cNvPr id="0" name="periods-panel.png"/>
                    <pic:cNvPicPr/>
                  </pic:nvPicPr>
                  <pic:blipFill>
                    <a:blip r:embed="rId17"/>
                    <a:stretch>
                      <a:fillRect/>
                    </a:stretch>
                  </pic:blipFill>
                  <pic:spPr>
                    <a:xfrm>
                      <a:off x="0" y="0"/>
                      <a:ext cx="5852160" cy="1685031"/>
                    </a:xfrm>
                    <a:prstGeom prst="rect"/>
                  </pic:spPr>
                </pic:pic>
              </a:graphicData>
            </a:graphic>
          </wp:inline>
        </w:drawing>
      </w:r>
    </w:p>
    <w:p>
      <w:pPr>
        <w:jc w:val="center"/>
        <w:bidi/>
      </w:pPr>
      <w:r>
        <w:rPr>
          <w:i/>
          <w:color w:val="6B7F74"/>
          <w:sz w:val="18"/>
          <w:rtl w:val="1"/>
          <w:lang w:bidi="ar-SA"/>
        </w:rPr>
        <w:t>لوحة الموجة</w:t>
      </w:r>
    </w:p>
    <w:p>
      <w:pPr>
        <w:bidi/>
      </w:pPr>
      <w:r>
        <w:rPr>
          <w:b/>
          <w:rtl w:val="1"/>
          <w:lang w:bidi="ar-SA"/>
        </w:rPr>
        <w:t>المقعد</w:t>
      </w:r>
      <w:r>
        <w:rPr>
          <w:rtl w:val="1"/>
          <w:lang w:bidi="ar-SA"/>
        </w:rPr>
        <w:t xml:space="preserve"> يفرّق بين </w:t>
      </w:r>
      <w:r>
        <w:rPr>
          <w:b/>
          <w:rtl w:val="1"/>
          <w:lang w:bidi="ar-SA"/>
        </w:rPr>
        <w:t>مقيّم</w:t>
      </w:r>
      <w:r>
        <w:rPr>
          <w:rtl w:val="1"/>
          <w:lang w:bidi="ar-SA"/>
        </w:rPr>
        <w:t xml:space="preserve"> و</w:t>
      </w:r>
      <w:r>
        <w:rPr>
          <w:b/>
          <w:rtl w:val="1"/>
          <w:lang w:bidi="ar-SA"/>
        </w:rPr>
        <w:t>مساعد</w:t>
      </w:r>
      <w:r>
        <w:rPr>
          <w:rtl w:val="1"/>
          <w:lang w:bidi="ar-SA"/>
        </w:rPr>
        <w:t>. و</w:t>
      </w:r>
      <w:r>
        <w:rPr>
          <w:b/>
          <w:rtl w:val="1"/>
          <w:lang w:bidi="ar-SA"/>
        </w:rPr>
        <w:t>النشاط</w:t>
      </w:r>
      <w:r>
        <w:rPr>
          <w:rtl w:val="1"/>
          <w:lang w:bidi="ar-SA"/>
        </w:rPr>
        <w:t xml:space="preserve"> يفرّق بين المقابلة الشخصية وحلقة النقاش وأدوات القياس والتمرين التكاملي — فالشخص الواحد قد يكون مستشار مقابلات ومستشار حلقة نقاش في الموجة نفسها بنصابين مختلفين.</w:t>
      </w:r>
    </w:p>
    <w:p>
      <w:pPr>
        <w:pStyle w:val="Heading2"/>
        <w:bidi/>
      </w:pPr>
      <w:r>
        <w:rPr>
          <w:rtl w:val="1"/>
          <w:lang w:bidi="ar-SA"/>
        </w:rPr>
        <w:t>النصاب عدّادٌ لا سدّ</w:t>
      </w:r>
    </w:p>
    <w:p>
      <w:pPr>
        <w:bidi/>
      </w:pPr>
      <w:r>
        <w:rPr>
          <w:rtl w:val="1"/>
          <w:lang w:bidi="ar-SA"/>
        </w:rPr>
        <w:t>هذه قاعدةٌ مقصودة في المنصّة:</w:t>
      </w:r>
    </w:p>
    <w:p>
      <w:pPr>
        <w:bidi/>
        <w:ind w:left="360" w:right="216"/>
        <w:shd w:val="clear" w:color="auto" w:fill="FFF8E6"/>
      </w:pPr>
      <w:r>
        <w:rPr>
          <w:b/>
          <w:sz w:val="21"/>
          <w:rtl w:val="1"/>
          <w:lang w:bidi="ar-SA"/>
        </w:rPr>
        <w:t>النصاب يُنذر ولا يمنع.</w:t>
      </w:r>
      <w:r>
        <w:rPr>
          <w:sz w:val="21"/>
          <w:rtl w:val="1"/>
          <w:lang w:bidi="ar-SA"/>
        </w:rPr>
        <w:t xml:space="preserve"> يظهر «٣/٥» بجانب الاسم، ويصير أحمر عند التجاوز، </w:t>
      </w:r>
      <w:r>
        <w:rPr>
          <w:b/>
          <w:sz w:val="21"/>
          <w:rtl w:val="1"/>
          <w:lang w:bidi="ar-SA"/>
        </w:rPr>
        <w:t>ويبقى الاسم قابلاً للاختيار</w:t>
      </w:r>
      <w:r>
        <w:rPr>
          <w:sz w:val="21"/>
          <w:rtl w:val="1"/>
          <w:lang w:bidi="ar-SA"/>
        </w:rPr>
        <w:t xml:space="preserve"> — لأن الضغط في يومٍ بعينه قرارُ المركز لا قرارُ الخوارزمية.</w:t>
      </w:r>
    </w:p>
    <w:p>
      <w:pPr>
        <w:bidi/>
      </w:pPr>
      <w:r>
        <w:rPr>
          <w:rtl w:val="1"/>
          <w:lang w:bidi="ar-SA"/>
        </w:rPr>
        <w:t xml:space="preserve">وما </w:t>
      </w:r>
      <w:r>
        <w:rPr>
          <w:b/>
          <w:rtl w:val="1"/>
          <w:lang w:bidi="ar-SA"/>
        </w:rPr>
        <w:t>يُمنع</w:t>
      </w:r>
      <w:r>
        <w:rPr>
          <w:rtl w:val="1"/>
          <w:lang w:bidi="ar-SA"/>
        </w:rPr>
        <w:t xml:space="preserve"> فعلاً هو </w:t>
      </w:r>
      <w:r>
        <w:rPr>
          <w:b/>
          <w:rtl w:val="1"/>
          <w:lang w:bidi="ar-SA"/>
        </w:rPr>
        <w:t>تعارض الوقت</w:t>
      </w:r>
      <w:r>
        <w:rPr>
          <w:rtl w:val="1"/>
          <w:lang w:bidi="ar-SA"/>
        </w:rPr>
        <w:t>: الشخص الواحد لا يكون في مكانين في اللحظة نفسها. وهذا خطأ إدخال لا قرار إداري، فيُمنع في قاعدة البيانات نفسها — لا يمرّ حتى لو ضغط اثنان في اللحظة ذاتها.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يُمنع دائماً</w:t>
            </w:r>
          </w:p>
        </w:tc>
        <w:tc>
          <w:tcPr>
            <w:tcW w:type="dxa" w:w="4874"/>
            <w:shd w:val="clear" w:color="auto" w:fill="EAF5EF"/>
          </w:tcPr>
          <w:p>
            <w:pPr>
              <w:bidi/>
            </w:pPr>
            <w:r>
              <w:rPr>
                <w:b/>
                <w:sz w:val="19"/>
              </w:rPr>
            </w:r>
            <w:r>
              <w:rPr>
                <w:b/>
                <w:sz w:val="19"/>
                <w:rtl w:val="1"/>
                <w:lang w:bidi="ar-SA"/>
              </w:rPr>
              <w:t>لا يُمنع</w:t>
            </w:r>
          </w:p>
        </w:tc>
      </w:tr>
      <w:tr>
        <w:tc>
          <w:tcPr>
            <w:tcW w:type="dxa" w:w="4874"/>
          </w:tcPr>
          <w:p>
            <w:pPr>
              <w:bidi/>
            </w:pPr>
            <w:r>
              <w:rPr>
                <w:sz w:val="19"/>
                <w:rtl w:val="1"/>
                <w:lang w:bidi="ar-SA"/>
              </w:rPr>
              <w:t>مقيّم في مقابلتين في اللحظة نفسها</w:t>
            </w:r>
          </w:p>
        </w:tc>
        <w:tc>
          <w:tcPr>
            <w:tcW w:type="dxa" w:w="4874"/>
          </w:tcPr>
          <w:p>
            <w:pPr>
              <w:bidi/>
            </w:pPr>
            <w:r>
              <w:rPr>
                <w:sz w:val="19"/>
                <w:rtl w:val="1"/>
                <w:lang w:bidi="ar-SA"/>
              </w:rPr>
              <w:t>مقيّم تجاوز نصابه اليومي</w:t>
            </w:r>
          </w:p>
        </w:tc>
      </w:tr>
      <w:tr>
        <w:tc>
          <w:tcPr>
            <w:tcW w:type="dxa" w:w="4874"/>
          </w:tcPr>
          <w:p>
            <w:pPr>
              <w:bidi/>
            </w:pPr>
            <w:r>
              <w:rPr>
                <w:sz w:val="19"/>
                <w:rtl w:val="1"/>
                <w:lang w:bidi="ar-SA"/>
              </w:rPr>
              <w:t>مساعد في مقابلتين في اللحظة نفسها</w:t>
            </w:r>
          </w:p>
        </w:tc>
        <w:tc>
          <w:tcPr>
            <w:tcW w:type="dxa" w:w="4874"/>
          </w:tcPr>
          <w:p>
            <w:pPr>
              <w:bidi/>
            </w:pPr>
            <w:r>
              <w:rPr>
                <w:sz w:val="19"/>
                <w:rtl w:val="1"/>
                <w:lang w:bidi="ar-SA"/>
              </w:rPr>
              <w:t>مقيّم في جلستين في اليوم بوقتين مختلفين</w:t>
            </w:r>
          </w:p>
        </w:tc>
      </w:tr>
      <w:tr>
        <w:tc>
          <w:tcPr>
            <w:tcW w:type="dxa" w:w="4874"/>
          </w:tcPr>
          <w:p>
            <w:pPr>
              <w:bidi/>
            </w:pPr>
            <w:r>
              <w:rPr>
                <w:sz w:val="19"/>
                <w:rtl w:val="1"/>
                <w:lang w:bidi="ar-SA"/>
              </w:rPr>
              <w:t>مشارك في جلستين في اللحظة نفسها</w:t>
            </w:r>
          </w:p>
        </w:tc>
        <w:tc>
          <w:tcPr>
            <w:tcW w:type="dxa" w:w="4874"/>
          </w:tcPr>
          <w:p>
            <w:pPr>
              <w:bidi/>
            </w:pPr>
            <w:r>
              <w:rPr>
                <w:sz w:val="19"/>
                <w:rtl w:val="1"/>
                <w:lang w:bidi="ar-SA"/>
              </w:rPr>
              <w:t>مشرف مع عدّة مشاركين في أدوات القياس أو التمرين التكاملي أو حلقة النقاش (جلسات جماعية)</w:t>
            </w:r>
          </w:p>
        </w:tc>
      </w:tr>
    </w:tbl>
    <w:p/>
    <w:p>
      <w:pPr>
        <w:pStyle w:val="Heading2"/>
        <w:bidi/>
      </w:pPr>
      <w:r>
        <w:rPr>
          <w:rtl w:val="1"/>
          <w:lang w:bidi="ar-SA"/>
        </w:rPr>
        <w:t>الأهلية تُفرَض على اللوحة</w:t>
      </w:r>
    </w:p>
    <w:p>
      <w:pPr>
        <w:bidi/>
      </w:pPr>
      <w:r>
        <w:rPr>
          <w:rtl w:val="1"/>
          <w:lang w:bidi="ar-SA"/>
        </w:rPr>
        <w:t>لا يُدرَج في مقعد المقيّم إلا من يؤهّله دوره لذلك النشاط. ومحاولة إدراج اسمٍ غير مؤهّل تُردّ بسببٍ مكتوب باسمه: «دوره لا يؤهّله لحلقة النقاش (مقيّم)».</w:t>
      </w:r>
    </w:p>
    <w:p>
      <w:pPr>
        <w:pStyle w:val="Heading1"/>
        <w:pageBreakBefore/>
        <w:bidi/>
      </w:pPr>
      <w:r>
        <w:rPr>
          <w:rtl w:val="1"/>
          <w:lang w:bidi="ar-SA"/>
        </w:rPr>
        <w:t>٦. جدولة الجلسة وإسناد المقيّم</w:t>
      </w:r>
    </w:p>
    <w:p>
      <w:pPr>
        <w:bidi/>
      </w:pPr>
      <w:r>
        <w:rPr>
          <w:rtl w:val="1"/>
          <w:lang w:bidi="ar-SA"/>
        </w:rPr>
        <w:t xml:space="preserve">هنا يلتقي المشارك بالمقيّم. من شاشة </w:t>
      </w:r>
      <w:r>
        <w:rPr>
          <w:b/>
          <w:rtl w:val="1"/>
          <w:lang w:bidi="ar-SA"/>
        </w:rPr>
        <w:t>الجدولة</w:t>
      </w:r>
      <w:r>
        <w:rPr>
          <w:rtl w:val="1"/>
          <w:lang w:bidi="ar-SA"/>
        </w:rPr>
        <w:t xml:space="preserve"> بزرّ </w:t>
      </w:r>
      <w:r>
        <w:rPr>
          <w:b/>
          <w:rtl w:val="1"/>
          <w:lang w:bidi="ar-SA"/>
        </w:rPr>
        <w:t>«جلسة جديدة»</w:t>
      </w:r>
      <w:r>
        <w:rPr>
          <w:rtl w:val="1"/>
          <w:lang w:bidi="ar-SA"/>
        </w:rPr>
        <w:t>:</w:t>
      </w:r>
    </w:p>
    <w:p>
      <w:pPr>
        <w:jc w:val="center"/>
      </w:pPr>
      <w:r>
        <w:drawing>
          <wp:inline xmlns:a="http://schemas.openxmlformats.org/drawingml/2006/main" xmlns:pic="http://schemas.openxmlformats.org/drawingml/2006/picture">
            <wp:extent cx="4719828" cy="6949440"/>
            <wp:docPr id="9" name="Picture 9"/>
            <wp:cNvGraphicFramePr>
              <a:graphicFrameLocks noChangeAspect="1"/>
            </wp:cNvGraphicFramePr>
            <a:graphic>
              <a:graphicData uri="http://schemas.openxmlformats.org/drawingml/2006/picture">
                <pic:pic>
                  <pic:nvPicPr>
                    <pic:cNvPr id="0" name="schedules-new-interview.jpg"/>
                    <pic:cNvPicPr/>
                  </pic:nvPicPr>
                  <pic:blipFill>
                    <a:blip r:embed="rId18"/>
                    <a:stretch>
                      <a:fillRect/>
                    </a:stretch>
                  </pic:blipFill>
                  <pic:spPr>
                    <a:xfrm>
                      <a:off x="0" y="0"/>
                      <a:ext cx="4719828" cy="6949440"/>
                    </a:xfrm>
                    <a:prstGeom prst="rect"/>
                  </pic:spPr>
                </pic:pic>
              </a:graphicData>
            </a:graphic>
          </wp:inline>
        </w:drawing>
      </w:r>
    </w:p>
    <w:p>
      <w:pPr>
        <w:jc w:val="center"/>
        <w:bidi/>
      </w:pPr>
      <w:r>
        <w:rPr>
          <w:i/>
          <w:color w:val="6B7F74"/>
          <w:sz w:val="18"/>
          <w:rtl w:val="1"/>
          <w:lang w:bidi="ar-SA"/>
        </w:rPr>
        <w:t>نافذة جلسة جديدة</w:t>
      </w:r>
    </w:p>
    <w:p>
      <w:pPr>
        <w:bidi/>
      </w:pPr>
      <w:r>
        <w:rPr>
          <w:rtl w:val="1"/>
          <w:lang w:bidi="ar-SA"/>
        </w:rPr>
        <w:t>الحقول بالترتيب:</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ماذا يفعل</w:t>
            </w:r>
          </w:p>
        </w:tc>
      </w:tr>
      <w:tr>
        <w:tc>
          <w:tcPr>
            <w:tcW w:type="dxa" w:w="4874"/>
          </w:tcPr>
          <w:p>
            <w:pPr>
              <w:bidi/>
            </w:pPr>
            <w:r>
              <w:rPr>
                <w:b/>
                <w:sz w:val="19"/>
                <w:rtl w:val="1"/>
                <w:lang w:bidi="ar-SA"/>
              </w:rPr>
              <w:t>المشارك</w:t>
            </w:r>
          </w:p>
        </w:tc>
        <w:tc>
          <w:tcPr>
            <w:tcW w:type="dxa" w:w="4874"/>
          </w:tcPr>
          <w:p>
            <w:pPr>
              <w:bidi/>
            </w:pPr>
            <w:r>
              <w:rPr>
                <w:sz w:val="19"/>
                <w:rtl w:val="1"/>
                <w:lang w:bidi="ar-SA"/>
              </w:rPr>
              <w:t>من المعتمدين فقط — غير المعتمد لا يظهر</w:t>
            </w:r>
          </w:p>
        </w:tc>
      </w:tr>
      <w:tr>
        <w:tc>
          <w:tcPr>
            <w:tcW w:type="dxa" w:w="4874"/>
          </w:tcPr>
          <w:p>
            <w:pPr>
              <w:bidi/>
            </w:pPr>
            <w:r>
              <w:rPr>
                <w:b/>
                <w:sz w:val="19"/>
                <w:rtl w:val="1"/>
                <w:lang w:bidi="ar-SA"/>
              </w:rPr>
              <w:t>النشاط</w:t>
            </w:r>
          </w:p>
        </w:tc>
        <w:tc>
          <w:tcPr>
            <w:tcW w:type="dxa" w:w="4874"/>
          </w:tcPr>
          <w:p>
            <w:pPr>
              <w:bidi/>
            </w:pPr>
            <w:r>
              <w:rPr>
                <w:sz w:val="19"/>
                <w:rtl w:val="1"/>
                <w:lang w:bidi="ar-SA"/>
              </w:rPr>
              <w:t>يغيّر قائمة المقيّمين: «مستشار المقابلة» للمقابلة، ومستشار حلقة النقاش لها</w:t>
            </w:r>
          </w:p>
        </w:tc>
      </w:tr>
      <w:tr>
        <w:tc>
          <w:tcPr>
            <w:tcW w:type="dxa" w:w="4874"/>
          </w:tcPr>
          <w:p>
            <w:pPr>
              <w:bidi/>
            </w:pPr>
            <w:r>
              <w:rPr>
                <w:b/>
                <w:sz w:val="19"/>
                <w:rtl w:val="1"/>
                <w:lang w:bidi="ar-SA"/>
              </w:rPr>
              <w:t>مستشار المقابلة</w:t>
            </w:r>
          </w:p>
        </w:tc>
        <w:tc>
          <w:tcPr>
            <w:tcW w:type="dxa" w:w="4874"/>
          </w:tcPr>
          <w:p>
            <w:pPr>
              <w:bidi/>
            </w:pPr>
            <w:r>
              <w:rPr>
                <w:sz w:val="19"/>
                <w:rtl w:val="1"/>
                <w:lang w:bidi="ar-SA"/>
              </w:rPr>
              <w:t xml:space="preserve">قائمة المؤهّلين لقطاع المشارك، ومعها </w:t>
            </w:r>
            <w:r>
              <w:rPr>
                <w:b/>
                <w:sz w:val="19"/>
                <w:rtl w:val="1"/>
                <w:lang w:bidi="ar-SA"/>
              </w:rPr>
              <w:t>عدّاد النصاب</w:t>
            </w:r>
            <w:r>
              <w:rPr>
                <w:sz w:val="19"/>
                <w:rtl w:val="1"/>
                <w:lang w:bidi="ar-SA"/>
              </w:rPr>
              <w:t xml:space="preserve"> لكل اسم</w:t>
            </w:r>
          </w:p>
        </w:tc>
      </w:tr>
      <w:tr>
        <w:tc>
          <w:tcPr>
            <w:tcW w:type="dxa" w:w="4874"/>
          </w:tcPr>
          <w:p>
            <w:pPr>
              <w:bidi/>
            </w:pPr>
            <w:r>
              <w:rPr>
                <w:b/>
                <w:sz w:val="19"/>
                <w:rtl w:val="1"/>
                <w:lang w:bidi="ar-SA"/>
              </w:rPr>
              <w:t>مساعد التقييم</w:t>
            </w:r>
          </w:p>
        </w:tc>
        <w:tc>
          <w:tcPr>
            <w:tcW w:type="dxa" w:w="4874"/>
          </w:tcPr>
          <w:p>
            <w:pPr>
              <w:bidi/>
            </w:pPr>
            <w:r>
              <w:rPr>
                <w:sz w:val="19"/>
                <w:rtl w:val="1"/>
                <w:lang w:bidi="ar-SA"/>
              </w:rPr>
              <w:t>اختياري</w:t>
            </w:r>
          </w:p>
        </w:tc>
      </w:tr>
      <w:tr>
        <w:tc>
          <w:tcPr>
            <w:tcW w:type="dxa" w:w="4874"/>
          </w:tcPr>
          <w:p>
            <w:pPr>
              <w:bidi/>
            </w:pPr>
            <w:r>
              <w:rPr>
                <w:b/>
                <w:sz w:val="19"/>
                <w:rtl w:val="1"/>
                <w:lang w:bidi="ar-SA"/>
              </w:rPr>
              <w:t>استعراض السيرة الذاتية</w:t>
            </w:r>
          </w:p>
        </w:tc>
        <w:tc>
          <w:tcPr>
            <w:tcW w:type="dxa" w:w="4874"/>
          </w:tcPr>
          <w:p>
            <w:pPr>
              <w:bidi/>
            </w:pPr>
            <w:r>
              <w:rPr>
                <w:sz w:val="19"/>
                <w:rtl w:val="1"/>
                <w:lang w:bidi="ar-SA"/>
              </w:rPr>
              <w:t>يعرض ملخّص سيرة المشارك داخل النافذة قبل اختيار المقيّم</w:t>
            </w:r>
          </w:p>
        </w:tc>
      </w:tr>
      <w:tr>
        <w:tc>
          <w:tcPr>
            <w:tcW w:type="dxa" w:w="4874"/>
          </w:tcPr>
          <w:p>
            <w:pPr>
              <w:bidi/>
            </w:pPr>
            <w:r>
              <w:rPr>
                <w:b/>
                <w:sz w:val="19"/>
                <w:rtl w:val="1"/>
                <w:lang w:bidi="ar-SA"/>
              </w:rPr>
              <w:t>الموجة</w:t>
            </w:r>
          </w:p>
        </w:tc>
        <w:tc>
          <w:tcPr>
            <w:tcW w:type="dxa" w:w="4874"/>
          </w:tcPr>
          <w:p>
            <w:pPr>
              <w:bidi/>
            </w:pPr>
            <w:r>
              <w:rPr>
                <w:sz w:val="19"/>
                <w:rtl w:val="1"/>
                <w:lang w:bidi="ar-SA"/>
              </w:rPr>
              <w:t>اختياري — الجلسة بلا موجة تعمل كما كانت، لكنها تغيب عن مستندات الموجة</w:t>
            </w:r>
          </w:p>
        </w:tc>
      </w:tr>
      <w:tr>
        <w:tc>
          <w:tcPr>
            <w:tcW w:type="dxa" w:w="4874"/>
          </w:tcPr>
          <w:p>
            <w:pPr>
              <w:bidi/>
            </w:pPr>
            <w:r>
              <w:rPr>
                <w:b/>
                <w:sz w:val="19"/>
                <w:rtl w:val="1"/>
                <w:lang w:bidi="ar-SA"/>
              </w:rPr>
              <w:t>التاريخ والوقت</w:t>
            </w:r>
          </w:p>
        </w:tc>
        <w:tc>
          <w:tcPr>
            <w:tcW w:type="dxa" w:w="4874"/>
          </w:tcPr>
          <w:p>
            <w:pPr>
              <w:bidi/>
            </w:pPr>
            <w:r>
              <w:rPr>
                <w:sz w:val="19"/>
                <w:rtl w:val="1"/>
                <w:lang w:bidi="ar-SA"/>
              </w:rPr>
              <w:t>داخل مدى الموجة إن اختيرت</w:t>
            </w:r>
          </w:p>
        </w:tc>
      </w:tr>
      <w:tr>
        <w:tc>
          <w:tcPr>
            <w:tcW w:type="dxa" w:w="4874"/>
          </w:tcPr>
          <w:p>
            <w:pPr>
              <w:bidi/>
            </w:pPr>
            <w:r>
              <w:rPr>
                <w:b/>
                <w:sz w:val="19"/>
                <w:rtl w:val="1"/>
                <w:lang w:bidi="ar-SA"/>
              </w:rPr>
              <w:t>المكان</w:t>
            </w:r>
          </w:p>
        </w:tc>
        <w:tc>
          <w:tcPr>
            <w:tcW w:type="dxa" w:w="4874"/>
          </w:tcPr>
          <w:p>
            <w:pPr>
              <w:bidi/>
            </w:pPr>
            <w:r>
              <w:rPr>
                <w:sz w:val="19"/>
                <w:rtl w:val="1"/>
                <w:lang w:bidi="ar-SA"/>
              </w:rPr>
              <w:t>نصّ حرّ</w:t>
            </w:r>
          </w:p>
        </w:tc>
      </w:tr>
    </w:tbl>
    <w:p/>
    <w:p>
      <w:pPr>
        <w:pStyle w:val="Heading2"/>
        <w:bidi/>
      </w:pPr>
      <w:r>
        <w:rPr>
          <w:rtl w:val="1"/>
          <w:lang w:bidi="ar-SA"/>
        </w:rPr>
        <w:t>ترتيب المقيّمين ليس عشوائياً</w:t>
      </w:r>
    </w:p>
    <w:p>
      <w:pPr>
        <w:bidi/>
      </w:pPr>
      <w:r>
        <w:rPr>
          <w:rtl w:val="1"/>
          <w:lang w:bidi="ar-SA"/>
        </w:rPr>
        <w:t xml:space="preserve">القائمة مرتّبة: </w:t>
      </w:r>
      <w:r>
        <w:rPr>
          <w:b/>
          <w:rtl w:val="1"/>
          <w:lang w:bidi="ar-SA"/>
        </w:rPr>
        <w:t>المُدرَج في لوحة الموجة أولاً</w:t>
      </w:r>
      <w:r>
        <w:rPr>
          <w:rtl w:val="1"/>
          <w:lang w:bidi="ar-SA"/>
        </w:rPr>
        <w:t xml:space="preserve">، ثم </w:t>
      </w:r>
      <w:r>
        <w:rPr>
          <w:b/>
          <w:rtl w:val="1"/>
          <w:lang w:bidi="ar-SA"/>
        </w:rPr>
        <w:t>الأقرب خبرةً</w:t>
      </w:r>
      <w:r>
        <w:rPr>
          <w:rtl w:val="1"/>
          <w:lang w:bidi="ar-SA"/>
        </w:rPr>
        <w:t xml:space="preserve"> (تُطابَق مجالات المقيّم بما تذكره سيرة المشارك)، ثم </w:t>
      </w:r>
      <w:r>
        <w:rPr>
          <w:b/>
          <w:rtl w:val="1"/>
          <w:lang w:bidi="ar-SA"/>
        </w:rPr>
        <w:t>الأخفّ حملاً</w:t>
      </w:r>
      <w:r>
        <w:rPr>
          <w:rtl w:val="1"/>
          <w:lang w:bidi="ar-SA"/>
        </w:rPr>
        <w:t>.</w:t>
      </w:r>
    </w:p>
    <w:p>
      <w:pPr>
        <w:bidi/>
        <w:ind w:left="360" w:right="216"/>
        <w:shd w:val="clear" w:color="auto" w:fill="FFF8E6"/>
      </w:pPr>
      <w:r>
        <w:rPr>
          <w:sz w:val="21"/>
          <w:rtl w:val="1"/>
          <w:lang w:bidi="ar-SA"/>
        </w:rPr>
        <w:t>اقتراحُ ترتيبٍ لا حجب: من درجة مطابقته صفر يبقى في القائمة قابلاً للاختيار. والقرار للمُجدوِل.</w:t>
      </w:r>
    </w:p>
    <w:p>
      <w:pPr>
        <w:pStyle w:val="Heading2"/>
        <w:bidi/>
      </w:pPr>
      <w:r>
        <w:rPr>
          <w:rtl w:val="1"/>
          <w:lang w:bidi="ar-SA"/>
        </w:rPr>
        <w:t>بعد الإسناد</w:t>
      </w:r>
    </w:p>
    <w:p>
      <w:pPr>
        <w:jc w:val="center"/>
      </w:pPr>
      <w:r>
        <w:drawing>
          <wp:inline xmlns:a="http://schemas.openxmlformats.org/drawingml/2006/main" xmlns:pic="http://schemas.openxmlformats.org/drawingml/2006/picture">
            <wp:extent cx="5852160" cy="3676952"/>
            <wp:docPr id="10" name="Picture 10"/>
            <wp:cNvGraphicFramePr>
              <a:graphicFrameLocks noChangeAspect="1"/>
            </wp:cNvGraphicFramePr>
            <a:graphic>
              <a:graphicData uri="http://schemas.openxmlformats.org/drawingml/2006/picture">
                <pic:pic>
                  <pic:nvPicPr>
                    <pic:cNvPr id="0" name="schedules-assigned.png"/>
                    <pic:cNvPicPr/>
                  </pic:nvPicPr>
                  <pic:blipFill>
                    <a:blip r:embed="rId19"/>
                    <a:stretch>
                      <a:fillRect/>
                    </a:stretch>
                  </pic:blipFill>
                  <pic:spPr>
                    <a:xfrm>
                      <a:off x="0" y="0"/>
                      <a:ext cx="5852160" cy="3676952"/>
                    </a:xfrm>
                    <a:prstGeom prst="rect"/>
                  </pic:spPr>
                </pic:pic>
              </a:graphicData>
            </a:graphic>
          </wp:inline>
        </w:drawing>
      </w:r>
    </w:p>
    <w:p>
      <w:pPr>
        <w:jc w:val="center"/>
        <w:bidi/>
      </w:pPr>
      <w:r>
        <w:rPr>
          <w:i/>
          <w:color w:val="6B7F74"/>
          <w:sz w:val="18"/>
          <w:rtl w:val="1"/>
          <w:lang w:bidi="ar-SA"/>
        </w:rPr>
        <w:t>الجلسة بعد إسنادها</w:t>
      </w:r>
    </w:p>
    <w:p>
      <w:pPr>
        <w:bidi/>
      </w:pPr>
      <w:r>
        <w:rPr>
          <w:rtl w:val="1"/>
          <w:lang w:bidi="ar-SA"/>
        </w:rPr>
        <w:t xml:space="preserve">الصفّ يعرض: المشارك بالرمز، والنشاط، والتاريخ والوقت، والمكان، والمقيّم المُسنَد، وحالة الحضور </w:t>
      </w:r>
      <w:r>
        <w:rPr>
          <w:b/>
          <w:rtl w:val="1"/>
          <w:lang w:bidi="ar-SA"/>
        </w:rPr>
        <w:t>«بالانتظار»</w:t>
      </w:r>
      <w:r>
        <w:rPr>
          <w:rtl w:val="1"/>
          <w:lang w:bidi="ar-SA"/>
        </w:rPr>
        <w:t xml:space="preserve"> حتى يحلّ اليوم.</w:t>
      </w:r>
    </w:p>
    <w:p>
      <w:pPr>
        <w:bidi/>
        <w:ind w:left="360" w:right="216"/>
        <w:shd w:val="clear" w:color="auto" w:fill="FFF8E6"/>
      </w:pPr>
      <w:r>
        <w:rPr>
          <w:sz w:val="21"/>
          <w:rtl w:val="1"/>
          <w:lang w:bidi="ar-SA"/>
        </w:rPr>
        <w:t xml:space="preserve">⚠ </w:t>
      </w:r>
      <w:r>
        <w:rPr>
          <w:b/>
          <w:sz w:val="21"/>
          <w:rtl w:val="1"/>
          <w:lang w:bidi="ar-SA"/>
        </w:rPr>
        <w:t>حدّ القطاع.</w:t>
      </w:r>
      <w:r>
        <w:rPr>
          <w:sz w:val="21"/>
          <w:rtl w:val="1"/>
          <w:lang w:bidi="ar-SA"/>
        </w:rPr>
        <w:t xml:space="preserve"> كل مقيّم ومساعد مخصَّص لقطاع ولا يُقيّم غيره. الإسناد عبر القطاعات يُمنع، ولا يمرّ إلا لحامل </w:t>
      </w:r>
      <w:r>
        <w:rPr>
          <w:rFonts w:ascii="Consolas" w:hAnsi="Consolas"/>
          <w:sz w:val="21"/>
          <w:rFonts w:ascii="Consolas" w:hAnsi="Consolas" w:cs="Consolas"/>
          <w:rtl w:val="0"/>
          <w:lang w:bidi="ar-SA"/>
        </w:rPr>
        <w:t>cross_sector.assign</w:t>
      </w:r>
      <w:r>
        <w:rPr>
          <w:sz w:val="21"/>
          <w:rtl w:val="1"/>
          <w:lang w:bidi="ar-SA"/>
        </w:rPr>
        <w:t xml:space="preserve"> وبعد تأكيد صريح — ويُكتب في سجل التدقيق.</w:t>
      </w:r>
    </w:p>
    <w:p>
      <w:pPr>
        <w:pStyle w:val="Heading1"/>
        <w:pageBreakBefore/>
        <w:bidi/>
      </w:pPr>
      <w:r>
        <w:rPr>
          <w:rtl w:val="1"/>
          <w:lang w:bidi="ar-SA"/>
        </w:rPr>
        <w:t>٧. سير عمل الجدولة — الخطوات الاثنتا عشرة</w:t>
      </w:r>
    </w:p>
    <w:p>
      <w:pPr>
        <w:bidi/>
      </w:pPr>
      <w:r>
        <w:rPr>
          <w:rtl w:val="1"/>
          <w:lang w:bidi="ar-SA"/>
        </w:rPr>
        <w:t>الموجة تحمل قائمة إجراءٍ من اثنتي عشرة خطوة، تُقاس حالتها على الموجة نفسها:</w:t>
      </w:r>
    </w:p>
    <w:p>
      <w:pPr>
        <w:jc w:val="center"/>
      </w:pPr>
      <w:r>
        <w:drawing>
          <wp:inline xmlns:a="http://schemas.openxmlformats.org/drawingml/2006/main" xmlns:pic="http://schemas.openxmlformats.org/drawingml/2006/picture">
            <wp:extent cx="5852160" cy="5376716"/>
            <wp:docPr id="11" name="Picture 11"/>
            <wp:cNvGraphicFramePr>
              <a:graphicFrameLocks noChangeAspect="1"/>
            </wp:cNvGraphicFramePr>
            <a:graphic>
              <a:graphicData uri="http://schemas.openxmlformats.org/drawingml/2006/picture">
                <pic:pic>
                  <pic:nvPicPr>
                    <pic:cNvPr id="0" name="periods-workflow.png"/>
                    <pic:cNvPicPr/>
                  </pic:nvPicPr>
                  <pic:blipFill>
                    <a:blip r:embed="rId20"/>
                    <a:stretch>
                      <a:fillRect/>
                    </a:stretch>
                  </pic:blipFill>
                  <pic:spPr>
                    <a:xfrm>
                      <a:off x="0" y="0"/>
                      <a:ext cx="5852160" cy="5376716"/>
                    </a:xfrm>
                    <a:prstGeom prst="rect"/>
                  </pic:spPr>
                </pic:pic>
              </a:graphicData>
            </a:graphic>
          </wp:inline>
        </w:drawing>
      </w:r>
    </w:p>
    <w:p>
      <w:pPr>
        <w:jc w:val="center"/>
        <w:bidi/>
      </w:pPr>
      <w:r>
        <w:rPr>
          <w:i/>
          <w:color w:val="6B7F74"/>
          <w:sz w:val="18"/>
          <w:rtl w:val="1"/>
          <w:lang w:bidi="ar-SA"/>
        </w:rPr>
        <w:t>سير عمل الجدولة</w:t>
      </w:r>
    </w:p>
    <w:p>
      <w:pPr>
        <w:bidi/>
      </w:pPr>
      <w:r>
        <w:rPr>
          <w:rtl w:val="1"/>
          <w:lang w:bidi="ar-SA"/>
        </w:rPr>
        <w:t>نوعان من الخطوات:</w:t>
      </w:r>
    </w:p>
    <w:p>
      <w:pPr>
        <w:pStyle w:val="ListBullet"/>
        <w:bidi/>
      </w:pPr>
      <w:r>
        <w:rPr>
          <w:b/>
          <w:rtl w:val="1"/>
          <w:lang w:bidi="ar-SA"/>
        </w:rPr>
        <w:t>آلية</w:t>
      </w:r>
      <w:r>
        <w:rPr>
          <w:rtl w:val="1"/>
          <w:lang w:bidi="ar-SA"/>
        </w:rPr>
        <w:t xml:space="preserve"> — يتحقّق منها النظام بنفسه من حالة الموجة، فلا تُؤشَّر كذباً ولا تبقى مؤشَّرةً بعد نقض شرطها. مثالها: «جُدولت جلسةٌ واحدة على الأقل».</w:t>
      </w:r>
    </w:p>
    <w:p>
      <w:pPr>
        <w:pStyle w:val="ListBullet"/>
        <w:bidi/>
      </w:pPr>
      <w:r>
        <w:rPr>
          <w:b/>
          <w:rtl w:val="1"/>
          <w:lang w:bidi="ar-SA"/>
        </w:rPr>
        <w:t>يدوية</w:t>
      </w:r>
      <w:r>
        <w:rPr>
          <w:rtl w:val="1"/>
          <w:lang w:bidi="ar-SA"/>
        </w:rPr>
        <w:t xml:space="preserve"> — يؤشّرها صاحبها، مثل طباعة السير والبطاقات وتصاريح الدخول.</w:t>
      </w:r>
    </w:p>
    <w:p>
      <w:pPr>
        <w:bidi/>
        <w:ind w:left="360" w:right="216"/>
        <w:shd w:val="clear" w:color="auto" w:fill="FFF8E6"/>
      </w:pPr>
      <w:r>
        <w:rPr>
          <w:b/>
          <w:sz w:val="21"/>
          <w:rtl w:val="1"/>
          <w:lang w:bidi="ar-SA"/>
        </w:rPr>
        <w:t>القائمة تُعلِم ولا تمنع.</w:t>
      </w:r>
      <w:r>
        <w:rPr>
          <w:sz w:val="21"/>
          <w:rtl w:val="1"/>
          <w:lang w:bidi="ar-SA"/>
        </w:rPr>
        <w:t xml:space="preserve"> لا خطوة تمنع إرسال الموجة ولا اعتمادها — هي شريط إنجازٍ يُقرأ، لا بوّابة.</w:t>
      </w:r>
    </w:p>
    <w:p>
      <w:pPr>
        <w:pStyle w:val="Heading1"/>
        <w:pageBreakBefore/>
        <w:bidi/>
      </w:pPr>
      <w:r>
        <w:rPr>
          <w:rtl w:val="1"/>
          <w:lang w:bidi="ar-SA"/>
        </w:rPr>
        <w:t>٨. اعتماد الموجة</w:t>
      </w:r>
    </w:p>
    <w:p>
      <w:pPr>
        <w:bidi/>
      </w:pPr>
      <w:r>
        <w:rPr>
          <w:rtl w:val="1"/>
          <w:lang w:bidi="ar-SA"/>
        </w:rPr>
        <w:t>بعد بناء الجلسات تُرسَل الموجة إلى مدير المركز:</w:t>
      </w:r>
    </w:p>
    <w:p>
      <w:pPr>
        <w:spacing w:before="80"/>
        <w:ind w:left="288"/>
        <w:shd w:val="clear" w:color="auto" w:fill="F2F5F3"/>
      </w:pPr>
      <w:r>
        <w:rPr>
          <w:rFonts w:ascii="Consolas" w:hAnsi="Consolas"/>
          <w:sz w:val="18"/>
          <w:rFonts w:ascii="Consolas" w:hAnsi="Consolas" w:cs="Consolas"/>
        </w:rPr>
        <w:t>مسودّة ──إرسال──&gt; بانتظار اعتماد مدير المركز ──اعتماد──&gt; معتمَدة ──إغلاق──&gt; مغلقة</w:t>
        <w:br/>
      </w:r>
      <w:r>
        <w:rPr>
          <w:rFonts w:ascii="Consolas" w:hAnsi="Consolas"/>
          <w:sz w:val="18"/>
          <w:rFonts w:ascii="Consolas" w:hAnsi="Consolas" w:cs="Consolas"/>
        </w:rPr>
        <w:t xml:space="preserve">   ^                          │</w:t>
        <w:br/>
      </w:r>
      <w:r>
        <w:rPr>
          <w:rFonts w:ascii="Consolas" w:hAnsi="Consolas"/>
          <w:sz w:val="18"/>
          <w:rFonts w:ascii="Consolas" w:hAnsi="Consolas" w:cs="Consolas"/>
        </w:rPr>
        <w:t xml:space="preserve">   └──── إرجاع (بسبب مكتوب) ───┘</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الانتقال</w:t>
            </w:r>
          </w:p>
        </w:tc>
        <w:tc>
          <w:tcPr>
            <w:tcW w:type="dxa" w:w="3250"/>
            <w:shd w:val="clear" w:color="auto" w:fill="EAF5EF"/>
          </w:tcPr>
          <w:p>
            <w:pPr>
              <w:bidi/>
            </w:pPr>
            <w:r>
              <w:rPr>
                <w:b/>
                <w:sz w:val="19"/>
              </w:rPr>
            </w:r>
            <w:r>
              <w:rPr>
                <w:b/>
                <w:sz w:val="19"/>
                <w:rtl w:val="1"/>
                <w:lang w:bidi="ar-SA"/>
              </w:rPr>
              <w:t>من يملكه</w:t>
            </w:r>
          </w:p>
        </w:tc>
        <w:tc>
          <w:tcPr>
            <w:tcW w:type="dxa" w:w="3250"/>
            <w:shd w:val="clear" w:color="auto" w:fill="EAF5EF"/>
          </w:tcPr>
          <w:p>
            <w:pPr>
              <w:bidi/>
            </w:pPr>
            <w:r>
              <w:rPr>
                <w:b/>
                <w:sz w:val="19"/>
              </w:rPr>
            </w:r>
            <w:r>
              <w:rPr>
                <w:b/>
                <w:sz w:val="19"/>
                <w:rtl w:val="1"/>
                <w:lang w:bidi="ar-SA"/>
              </w:rPr>
              <w:t>شرطه</w:t>
            </w:r>
          </w:p>
        </w:tc>
      </w:tr>
      <w:tr>
        <w:tc>
          <w:tcPr>
            <w:tcW w:type="dxa" w:w="3250"/>
          </w:tcPr>
          <w:p>
            <w:pPr>
              <w:bidi/>
            </w:pPr>
            <w:r>
              <w:rPr>
                <w:b/>
                <w:sz w:val="19"/>
                <w:rtl w:val="1"/>
                <w:lang w:bidi="ar-SA"/>
              </w:rPr>
              <w:t>إرسال</w:t>
            </w:r>
          </w:p>
        </w:tc>
        <w:tc>
          <w:tcPr>
            <w:tcW w:type="dxa" w:w="3250"/>
          </w:tcPr>
          <w:p>
            <w:pPr>
              <w:bidi/>
            </w:pPr>
            <w:r>
              <w:rPr>
                <w:sz w:val="19"/>
                <w:rtl w:val="1"/>
                <w:lang w:bidi="ar-SA"/>
              </w:rPr>
              <w:t>مسؤول الجدولة</w:t>
            </w:r>
          </w:p>
        </w:tc>
        <w:tc>
          <w:tcPr>
            <w:tcW w:type="dxa" w:w="3250"/>
          </w:tcPr>
          <w:p>
            <w:pPr>
              <w:bidi/>
            </w:pPr>
            <w:r>
              <w:rPr>
                <w:sz w:val="19"/>
                <w:rtl w:val="1"/>
                <w:lang w:bidi="ar-SA"/>
              </w:rPr>
              <w:t xml:space="preserve">الموجة مسودّة، </w:t>
            </w:r>
            <w:r>
              <w:rPr>
                <w:b/>
                <w:sz w:val="19"/>
                <w:rtl w:val="1"/>
                <w:lang w:bidi="ar-SA"/>
              </w:rPr>
              <w:t>وفيها جلسة واحدة على الأقل</w:t>
            </w:r>
          </w:p>
        </w:tc>
      </w:tr>
      <w:tr>
        <w:tc>
          <w:tcPr>
            <w:tcW w:type="dxa" w:w="3250"/>
          </w:tcPr>
          <w:p>
            <w:pPr>
              <w:bidi/>
            </w:pPr>
            <w:r>
              <w:rPr>
                <w:b/>
                <w:sz w:val="19"/>
                <w:rtl w:val="1"/>
                <w:lang w:bidi="ar-SA"/>
              </w:rPr>
              <w:t>اعتماد</w:t>
            </w:r>
          </w:p>
        </w:tc>
        <w:tc>
          <w:tcPr>
            <w:tcW w:type="dxa" w:w="3250"/>
          </w:tcPr>
          <w:p>
            <w:pPr>
              <w:bidi/>
            </w:pPr>
            <w:r>
              <w:rPr>
                <w:sz w:val="19"/>
                <w:rtl w:val="1"/>
                <w:lang w:bidi="ar-SA"/>
              </w:rPr>
              <w:t>مدير المركز (</w:t>
            </w:r>
            <w:r>
              <w:rPr>
                <w:rFonts w:ascii="Consolas" w:hAnsi="Consolas"/>
                <w:sz w:val="19"/>
                <w:rFonts w:ascii="Consolas" w:hAnsi="Consolas" w:cs="Consolas"/>
                <w:rtl w:val="0"/>
                <w:lang w:bidi="ar-SA"/>
              </w:rPr>
              <w:t>schedule.approve_center</w:t>
            </w:r>
            <w:r>
              <w:rPr>
                <w:sz w:val="19"/>
                <w:rtl w:val="1"/>
                <w:lang w:bidi="ar-SA"/>
              </w:rPr>
              <w:t>)</w:t>
            </w:r>
          </w:p>
        </w:tc>
        <w:tc>
          <w:tcPr>
            <w:tcW w:type="dxa" w:w="3250"/>
          </w:tcPr>
          <w:p>
            <w:pPr>
              <w:bidi/>
            </w:pPr>
            <w:r>
              <w:rPr>
                <w:sz w:val="19"/>
                <w:rtl w:val="1"/>
                <w:lang w:bidi="ar-SA"/>
              </w:rPr>
              <w:t xml:space="preserve">الموجة مُرسَلة — </w:t>
            </w:r>
            <w:r>
              <w:rPr>
                <w:b/>
                <w:sz w:val="19"/>
                <w:rtl w:val="1"/>
                <w:lang w:bidi="ar-SA"/>
              </w:rPr>
              <w:t>ولم يُرسِلها هو</w:t>
            </w:r>
          </w:p>
        </w:tc>
      </w:tr>
      <w:tr>
        <w:tc>
          <w:tcPr>
            <w:tcW w:type="dxa" w:w="3250"/>
          </w:tcPr>
          <w:p>
            <w:pPr>
              <w:bidi/>
            </w:pPr>
            <w:r>
              <w:rPr>
                <w:b/>
                <w:sz w:val="19"/>
                <w:rtl w:val="1"/>
                <w:lang w:bidi="ar-SA"/>
              </w:rPr>
              <w:t>إرجاع</w:t>
            </w:r>
          </w:p>
        </w:tc>
        <w:tc>
          <w:tcPr>
            <w:tcW w:type="dxa" w:w="3250"/>
          </w:tcPr>
          <w:p>
            <w:pPr>
              <w:bidi/>
            </w:pPr>
            <w:r>
              <w:rPr>
                <w:sz w:val="19"/>
                <w:rtl w:val="1"/>
                <w:lang w:bidi="ar-SA"/>
              </w:rPr>
              <w:t>مدير المركز</w:t>
            </w:r>
          </w:p>
        </w:tc>
        <w:tc>
          <w:tcPr>
            <w:tcW w:type="dxa" w:w="3250"/>
          </w:tcPr>
          <w:p>
            <w:pPr>
              <w:bidi/>
            </w:pPr>
            <w:r>
              <w:rPr>
                <w:sz w:val="19"/>
                <w:rtl w:val="1"/>
                <w:lang w:bidi="ar-SA"/>
              </w:rPr>
              <w:t xml:space="preserve">الموجة مُرسَلة، </w:t>
            </w:r>
            <w:r>
              <w:rPr>
                <w:b/>
                <w:sz w:val="19"/>
                <w:rtl w:val="1"/>
                <w:lang w:bidi="ar-SA"/>
              </w:rPr>
              <w:t>وبسببٍ مكتوب إلزامي</w:t>
            </w:r>
          </w:p>
        </w:tc>
      </w:tr>
      <w:tr>
        <w:tc>
          <w:tcPr>
            <w:tcW w:type="dxa" w:w="3250"/>
          </w:tcPr>
          <w:p>
            <w:pPr>
              <w:bidi/>
            </w:pPr>
            <w:r>
              <w:rPr>
                <w:b/>
                <w:sz w:val="19"/>
                <w:rtl w:val="1"/>
                <w:lang w:bidi="ar-SA"/>
              </w:rPr>
              <w:t>إغلاق</w:t>
            </w:r>
          </w:p>
        </w:tc>
        <w:tc>
          <w:tcPr>
            <w:tcW w:type="dxa" w:w="3250"/>
          </w:tcPr>
          <w:p>
            <w:pPr>
              <w:bidi/>
            </w:pPr>
            <w:r>
              <w:rPr>
                <w:sz w:val="19"/>
                <w:rtl w:val="1"/>
                <w:lang w:bidi="ar-SA"/>
              </w:rPr>
              <w:t>مسؤول الجدولة</w:t>
            </w:r>
          </w:p>
        </w:tc>
        <w:tc>
          <w:tcPr>
            <w:tcW w:type="dxa" w:w="3250"/>
          </w:tcPr>
          <w:p>
            <w:pPr>
              <w:bidi/>
            </w:pPr>
            <w:r>
              <w:rPr>
                <w:sz w:val="19"/>
                <w:rtl w:val="1"/>
                <w:lang w:bidi="ar-SA"/>
              </w:rPr>
              <w:t>الموجة معتمَدة</w:t>
            </w:r>
          </w:p>
        </w:tc>
      </w:tr>
    </w:tbl>
    <w:p/>
    <w:p>
      <w:pPr>
        <w:bidi/>
        <w:ind w:left="360" w:right="216"/>
        <w:shd w:val="clear" w:color="auto" w:fill="FFF8E6"/>
      </w:pPr>
      <w:r>
        <w:rPr>
          <w:sz w:val="21"/>
          <w:rtl w:val="1"/>
          <w:lang w:bidi="ar-SA"/>
        </w:rPr>
        <w:t xml:space="preserve">🔒 </w:t>
      </w:r>
      <w:r>
        <w:rPr>
          <w:b/>
          <w:sz w:val="21"/>
          <w:rtl w:val="1"/>
          <w:lang w:bidi="ar-SA"/>
        </w:rPr>
        <w:t>من يبني الجدول لا يعتمده.</w:t>
      </w:r>
      <w:r>
        <w:rPr>
          <w:sz w:val="21"/>
          <w:rtl w:val="1"/>
          <w:lang w:bidi="ar-SA"/>
        </w:rPr>
        <w:t xml:space="preserve"> مدير المركز يستطيع بناء الموجة وإرسالها، لكنه </w:t>
      </w:r>
      <w:r>
        <w:rPr>
          <w:b/>
          <w:sz w:val="21"/>
          <w:rtl w:val="1"/>
          <w:lang w:bidi="ar-SA"/>
        </w:rPr>
        <w:t>لا يعتمد موجةً أرسلها بنفسه</w:t>
      </w:r>
      <w:r>
        <w:rPr>
          <w:sz w:val="21"/>
          <w:rtl w:val="1"/>
          <w:lang w:bidi="ar-SA"/>
        </w:rPr>
        <w:t xml:space="preserve"> — يعتمدها حاملُ الصلاحية غيره. فصلُ مهامٍ لا صلاحية تجميلية.</w:t>
      </w:r>
    </w:p>
    <w:p>
      <w:pPr>
        <w:pStyle w:val="Heading2"/>
        <w:bidi/>
      </w:pPr>
      <w:r>
        <w:rPr>
          <w:rtl w:val="1"/>
          <w:lang w:bidi="ar-SA"/>
        </w:rPr>
        <w:t>ما يتغيّر بالاعتماد</w:t>
      </w:r>
    </w:p>
    <w:p>
      <w:pPr>
        <w:bidi/>
      </w:pPr>
      <w:r>
        <w:rPr>
          <w:rtl w:val="1"/>
          <w:lang w:bidi="ar-SA"/>
        </w:rPr>
        <w:t xml:space="preserve">الموجة المعتمَدة </w:t>
      </w:r>
      <w:r>
        <w:rPr>
          <w:b/>
          <w:rtl w:val="1"/>
          <w:lang w:bidi="ar-SA"/>
        </w:rPr>
        <w:t>تُقرأ ولا تُكتب</w:t>
      </w:r>
      <w:r>
        <w:rPr>
          <w:rtl w:val="1"/>
          <w:lang w:bidi="ar-SA"/>
        </w:rPr>
        <w:t>: لا تُضاف إليها جلسة، ولا تُعدَّل جلساتها، ولا تُحذف إحداها، ولا تُعدَّل لوحة أسمائها، ولا تُحذف الموجة نفسها.</w:t>
      </w:r>
    </w:p>
    <w:p>
      <w:pPr>
        <w:bidi/>
        <w:ind w:left="360" w:right="216"/>
        <w:shd w:val="clear" w:color="auto" w:fill="FFF8E6"/>
      </w:pPr>
      <w:r>
        <w:rPr>
          <w:b/>
          <w:sz w:val="21"/>
          <w:rtl w:val="1"/>
          <w:lang w:bidi="ar-SA"/>
        </w:rPr>
        <w:t>وجلسة تعويض الغياب؟</w:t>
      </w:r>
      <w:r>
        <w:rPr>
          <w:sz w:val="21"/>
          <w:rtl w:val="1"/>
          <w:lang w:bidi="ar-SA"/>
        </w:rPr>
        <w:t xml:space="preserve"> لا تدخل الموجة المعتمَدة. الغياب لا يقع إلا وموجةٌ معتمَدة تعمل، فلو دخلت لتغيّر ما اعتمده مدير المركز بعد ختمه. تذهب الجلسة المُعوِّضة إلى الموجة المفتوحة التي يقع تاريخها الجديد داخل مداها.</w:t>
      </w:r>
    </w:p>
    <w:p>
      <w:pPr>
        <w:pStyle w:val="Heading1"/>
        <w:pageBreakBefore/>
        <w:bidi/>
      </w:pPr>
      <w:r>
        <w:rPr>
          <w:rtl w:val="1"/>
          <w:lang w:bidi="ar-SA"/>
        </w:rPr>
        <w:t>٩. يوم الجلسة — الاستقبال</w:t>
      </w:r>
    </w:p>
    <w:p>
      <w:pPr>
        <w:bidi/>
      </w:pPr>
      <w:r>
        <w:rPr>
          <w:rtl w:val="1"/>
          <w:lang w:bidi="ar-SA"/>
        </w:rPr>
        <w:t>يوم التنفيذ يُسجَّل وصول المشارك عند الاستقبال، ويؤخذ توقيعه وإقراره، ثم يُوزَّع على النشاط والمقيّم.</w:t>
      </w:r>
    </w:p>
    <w:p>
      <w:pPr>
        <w:jc w:val="center"/>
      </w:pPr>
      <w:r>
        <w:drawing>
          <wp:inline xmlns:a="http://schemas.openxmlformats.org/drawingml/2006/main" xmlns:pic="http://schemas.openxmlformats.org/drawingml/2006/picture">
            <wp:extent cx="5852160" cy="3677107"/>
            <wp:docPr id="12" name="Picture 12"/>
            <wp:cNvGraphicFramePr>
              <a:graphicFrameLocks noChangeAspect="1"/>
            </wp:cNvGraphicFramePr>
            <a:graphic>
              <a:graphicData uri="http://schemas.openxmlformats.org/drawingml/2006/picture">
                <pic:pic>
                  <pic:nvPicPr>
                    <pic:cNvPr id="0" name="reception.jpg"/>
                    <pic:cNvPicPr/>
                  </pic:nvPicPr>
                  <pic:blipFill>
                    <a:blip r:embed="rId2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الاستقبال</w:t>
      </w:r>
    </w:p>
    <w:p>
      <w:pPr>
        <w:bidi/>
      </w:pPr>
      <w:r>
        <w:rPr>
          <w:rtl w:val="1"/>
          <w:lang w:bidi="ar-SA"/>
        </w:rPr>
        <w:t xml:space="preserve">التوزيع يمرّ بثلاث حالات: </w:t>
      </w:r>
      <w:r>
        <w:rPr>
          <w:b/>
          <w:rtl w:val="1"/>
          <w:lang w:bidi="ar-SA"/>
        </w:rPr>
        <w:t>بانتظار المقيّم</w:t>
      </w:r>
      <w:r>
        <w:rPr>
          <w:rtl w:val="1"/>
          <w:lang w:bidi="ar-SA"/>
        </w:rPr>
        <w:t xml:space="preserve"> ← </w:t>
      </w:r>
      <w:r>
        <w:rPr>
          <w:b/>
          <w:rtl w:val="1"/>
          <w:lang w:bidi="ar-SA"/>
        </w:rPr>
        <w:t>مُستلَم</w:t>
      </w:r>
      <w:r>
        <w:rPr>
          <w:rtl w:val="1"/>
          <w:lang w:bidi="ar-SA"/>
        </w:rPr>
        <w:t xml:space="preserve"> ← </w:t>
      </w:r>
      <w:r>
        <w:rPr>
          <w:b/>
          <w:rtl w:val="1"/>
          <w:lang w:bidi="ar-SA"/>
        </w:rPr>
        <w:t>معتمَد</w:t>
      </w:r>
      <w:r>
        <w:rPr>
          <w:rtl w:val="1"/>
          <w:lang w:bidi="ar-SA"/>
        </w:rPr>
        <w:t>. ومن يوزّع لا يعتمد توزيعه بنفسه.</w:t>
      </w:r>
    </w:p>
    <w:p>
      <w:pPr>
        <w:pStyle w:val="Heading1"/>
        <w:pageBreakBefore/>
        <w:bidi/>
      </w:pPr>
      <w:r>
        <w:rPr>
          <w:rtl w:val="1"/>
          <w:lang w:bidi="ar-SA"/>
        </w:rPr>
        <w:t>١٠. التقييم</w:t>
      </w:r>
    </w:p>
    <w:p>
      <w:pPr>
        <w:bidi/>
      </w:pPr>
      <w:r>
        <w:rPr>
          <w:rtl w:val="1"/>
          <w:lang w:bidi="ar-SA"/>
        </w:rPr>
        <w:t>المقيّم يفتح شاشة التقييم فيجد جلساته وحدها:</w:t>
      </w:r>
    </w:p>
    <w:p>
      <w:pPr>
        <w:jc w:val="center"/>
      </w:pPr>
      <w:r>
        <w:drawing>
          <wp:inline xmlns:a="http://schemas.openxmlformats.org/drawingml/2006/main" xmlns:pic="http://schemas.openxmlformats.org/drawingml/2006/picture">
            <wp:extent cx="5852160" cy="3677107"/>
            <wp:docPr id="13" name="Picture 13"/>
            <wp:cNvGraphicFramePr>
              <a:graphicFrameLocks noChangeAspect="1"/>
            </wp:cNvGraphicFramePr>
            <a:graphic>
              <a:graphicData uri="http://schemas.openxmlformats.org/drawingml/2006/picture">
                <pic:pic>
                  <pic:nvPicPr>
                    <pic:cNvPr id="0" name="dashboard-evaluator.jpg"/>
                    <pic:cNvPicPr/>
                  </pic:nvPicPr>
                  <pic:blipFill>
                    <a:blip r:embed="rId2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لوحة مستشار المقابلة</w:t>
      </w:r>
    </w:p>
    <w:p>
      <w:pPr>
        <w:jc w:val="center"/>
      </w:pPr>
      <w:r>
        <w:drawing>
          <wp:inline xmlns:a="http://schemas.openxmlformats.org/drawingml/2006/main" xmlns:pic="http://schemas.openxmlformats.org/drawingml/2006/picture">
            <wp:extent cx="5852160" cy="3677107"/>
            <wp:docPr id="14" name="Picture 14"/>
            <wp:cNvGraphicFramePr>
              <a:graphicFrameLocks noChangeAspect="1"/>
            </wp:cNvGraphicFramePr>
            <a:graphic>
              <a:graphicData uri="http://schemas.openxmlformats.org/drawingml/2006/picture">
                <pic:pic>
                  <pic:nvPicPr>
                    <pic:cNvPr id="0" name="candidates-evaluator.jpg"/>
                    <pic:cNvPicPr/>
                  </pic:nvPicPr>
                  <pic:blipFill>
                    <a:blip r:embed="rId2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كما يراها المقيّم</w:t>
      </w:r>
    </w:p>
    <w:p>
      <w:pPr>
        <w:bidi/>
        <w:ind w:left="360" w:right="216"/>
        <w:shd w:val="clear" w:color="auto" w:fill="FFF8E6"/>
      </w:pPr>
      <w:r>
        <w:rPr>
          <w:sz w:val="21"/>
          <w:rtl w:val="1"/>
          <w:lang w:bidi="ar-SA"/>
        </w:rPr>
        <w:t xml:space="preserve">🔒 </w:t>
      </w:r>
      <w:r>
        <w:rPr>
          <w:b/>
          <w:sz w:val="21"/>
          <w:rtl w:val="1"/>
          <w:lang w:bidi="ar-SA"/>
        </w:rPr>
        <w:t>المقيّم يعمل بالرمز لا بالاسم.</w:t>
      </w:r>
      <w:r>
        <w:rPr>
          <w:sz w:val="21"/>
          <w:rtl w:val="1"/>
          <w:lang w:bidi="ar-SA"/>
        </w:rPr>
        <w:t xml:space="preserve"> لا يرى أسماء المشاركين — حياد التقييم محفوظ ببناء الشاشة لا بالتوصية.</w:t>
      </w:r>
    </w:p>
    <w:p>
      <w:pPr>
        <w:jc w:val="center"/>
      </w:pPr>
      <w:r>
        <w:drawing>
          <wp:inline xmlns:a="http://schemas.openxmlformats.org/drawingml/2006/main" xmlns:pic="http://schemas.openxmlformats.org/drawingml/2006/picture">
            <wp:extent cx="5852160" cy="3676952"/>
            <wp:docPr id="15" name="Picture 15"/>
            <wp:cNvGraphicFramePr>
              <a:graphicFrameLocks noChangeAspect="1"/>
            </wp:cNvGraphicFramePr>
            <a:graphic>
              <a:graphicData uri="http://schemas.openxmlformats.org/drawingml/2006/picture">
                <pic:pic>
                  <pic:nvPicPr>
                    <pic:cNvPr id="0" name="assessment-scoring.png"/>
                    <pic:cNvPicPr/>
                  </pic:nvPicPr>
                  <pic:blipFill>
                    <a:blip r:embed="rId24"/>
                    <a:stretch>
                      <a:fillRect/>
                    </a:stretch>
                  </pic:blipFill>
                  <pic:spPr>
                    <a:xfrm>
                      <a:off x="0" y="0"/>
                      <a:ext cx="5852160" cy="3676952"/>
                    </a:xfrm>
                    <a:prstGeom prst="rect"/>
                  </pic:spPr>
                </pic:pic>
              </a:graphicData>
            </a:graphic>
          </wp:inline>
        </w:drawing>
      </w:r>
    </w:p>
    <w:p>
      <w:pPr>
        <w:jc w:val="center"/>
        <w:bidi/>
      </w:pPr>
      <w:r>
        <w:rPr>
          <w:i/>
          <w:color w:val="6B7F74"/>
          <w:sz w:val="18"/>
          <w:rtl w:val="1"/>
          <w:lang w:bidi="ar-SA"/>
        </w:rPr>
        <w:t>نموذج رصد الدرجات</w:t>
      </w:r>
    </w:p>
    <w:p>
      <w:pPr>
        <w:bidi/>
      </w:pPr>
      <w:r>
        <w:rPr>
          <w:rtl w:val="1"/>
          <w:lang w:bidi="ar-SA"/>
        </w:rPr>
        <w:t>بعد الرصد يُرسَل التقييم فتُقفل درجاته، ولا تُعدَّل إلا بإرجاعٍ من صاحب الصلاحية.</w:t>
      </w:r>
    </w:p>
    <w:p>
      <w:pPr>
        <w:pStyle w:val="Heading1"/>
        <w:pageBreakBefore/>
        <w:bidi/>
      </w:pPr>
      <w:r>
        <w:rPr>
          <w:rtl w:val="1"/>
          <w:lang w:bidi="ar-SA"/>
        </w:rPr>
        <w:t>١١. ما يتفرّع عن الموجة بعد اعتمادها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المخرَج</w:t>
            </w:r>
          </w:p>
        </w:tc>
        <w:tc>
          <w:tcPr>
            <w:tcW w:type="dxa" w:w="3250"/>
            <w:shd w:val="clear" w:color="auto" w:fill="EAF5EF"/>
          </w:tcPr>
          <w:p>
            <w:pPr>
              <w:bidi/>
            </w:pPr>
            <w:r>
              <w:rPr>
                <w:b/>
                <w:sz w:val="19"/>
              </w:rPr>
            </w:r>
            <w:r>
              <w:rPr>
                <w:b/>
                <w:sz w:val="19"/>
                <w:rtl w:val="1"/>
                <w:lang w:bidi="ar-SA"/>
              </w:rPr>
              <w:t>ما هو</w:t>
            </w:r>
          </w:p>
        </w:tc>
        <w:tc>
          <w:tcPr>
            <w:tcW w:type="dxa" w:w="3250"/>
            <w:shd w:val="clear" w:color="auto" w:fill="EAF5EF"/>
          </w:tcPr>
          <w:p>
            <w:pPr>
              <w:bidi/>
            </w:pPr>
            <w:r>
              <w:rPr>
                <w:b/>
                <w:sz w:val="19"/>
              </w:rPr>
            </w:r>
            <w:r>
              <w:rPr>
                <w:b/>
                <w:sz w:val="19"/>
                <w:rtl w:val="1"/>
                <w:lang w:bidi="ar-SA"/>
              </w:rPr>
              <w:t>شرطه</w:t>
            </w:r>
          </w:p>
        </w:tc>
      </w:tr>
      <w:tr>
        <w:tc>
          <w:tcPr>
            <w:tcW w:type="dxa" w:w="3250"/>
          </w:tcPr>
          <w:p>
            <w:pPr>
              <w:bidi/>
            </w:pPr>
            <w:r>
              <w:rPr>
                <w:b/>
                <w:sz w:val="19"/>
                <w:rtl w:val="1"/>
                <w:lang w:bidi="ar-SA"/>
              </w:rPr>
              <w:t>الجدول الذهبي</w:t>
            </w:r>
          </w:p>
        </w:tc>
        <w:tc>
          <w:tcPr>
            <w:tcW w:type="dxa" w:w="3250"/>
          </w:tcPr>
          <w:p>
            <w:pPr>
              <w:bidi/>
            </w:pPr>
            <w:r>
              <w:rPr>
                <w:sz w:val="19"/>
                <w:rtl w:val="1"/>
                <w:lang w:bidi="ar-SA"/>
              </w:rPr>
              <w:t>تواريخ الموجة ورموز مشاركيها مجمَّعةً بالقطاع</w:t>
            </w:r>
          </w:p>
        </w:tc>
        <w:tc>
          <w:tcPr>
            <w:tcW w:type="dxa" w:w="3250"/>
          </w:tcPr>
          <w:p>
            <w:pPr>
              <w:bidi/>
            </w:pPr>
            <w:r>
              <w:rPr>
                <w:sz w:val="19"/>
                <w:rtl w:val="1"/>
                <w:lang w:bidi="ar-SA"/>
              </w:rPr>
              <w:t>يُرحَّل من جلسات الموجة</w:t>
            </w:r>
          </w:p>
        </w:tc>
      </w:tr>
      <w:tr>
        <w:tc>
          <w:tcPr>
            <w:tcW w:type="dxa" w:w="3250"/>
          </w:tcPr>
          <w:p>
            <w:pPr>
              <w:bidi/>
            </w:pPr>
            <w:r>
              <w:rPr>
                <w:b/>
                <w:sz w:val="19"/>
                <w:rtl w:val="1"/>
                <w:lang w:bidi="ar-SA"/>
              </w:rPr>
              <w:t>تسليم الجهات</w:t>
            </w:r>
          </w:p>
        </w:tc>
        <w:tc>
          <w:tcPr>
            <w:tcW w:type="dxa" w:w="3250"/>
          </w:tcPr>
          <w:p>
            <w:pPr>
              <w:bidi/>
            </w:pPr>
            <w:r>
              <w:rPr>
                <w:sz w:val="19"/>
                <w:rtl w:val="1"/>
                <w:lang w:bidi="ar-SA"/>
              </w:rPr>
              <w:t>ملفّ لكل جهة (الشؤون العسكرية / الموارد البشرية) بحسب فئة المشارك</w:t>
            </w:r>
          </w:p>
        </w:tc>
        <w:tc>
          <w:tcPr>
            <w:tcW w:type="dxa" w:w="3250"/>
          </w:tcPr>
          <w:p>
            <w:pPr>
              <w:bidi/>
            </w:pPr>
            <w:r>
              <w:rPr>
                <w:b/>
                <w:sz w:val="19"/>
                <w:rtl w:val="1"/>
                <w:lang w:bidi="ar-SA"/>
              </w:rPr>
              <w:t>الموجة معتمَدة فقط</w:t>
            </w:r>
          </w:p>
        </w:tc>
      </w:tr>
      <w:tr>
        <w:tc>
          <w:tcPr>
            <w:tcW w:type="dxa" w:w="3250"/>
          </w:tcPr>
          <w:p>
            <w:pPr>
              <w:bidi/>
            </w:pPr>
            <w:r>
              <w:rPr>
                <w:b/>
                <w:sz w:val="19"/>
                <w:rtl w:val="1"/>
                <w:lang w:bidi="ar-SA"/>
              </w:rPr>
              <w:t>تصاريح الدخول</w:t>
            </w:r>
          </w:p>
        </w:tc>
        <w:tc>
          <w:tcPr>
            <w:tcW w:type="dxa" w:w="3250"/>
          </w:tcPr>
          <w:p>
            <w:pPr>
              <w:bidi/>
            </w:pPr>
            <w:r>
              <w:rPr>
                <w:sz w:val="19"/>
                <w:rtl w:val="1"/>
                <w:lang w:bidi="ar-SA"/>
              </w:rPr>
              <w:t>بطاقة لكل مشارك ليوم بعينه</w:t>
            </w:r>
          </w:p>
        </w:tc>
        <w:tc>
          <w:tcPr>
            <w:tcW w:type="dxa" w:w="3250"/>
          </w:tcPr>
          <w:p>
            <w:pPr>
              <w:bidi/>
            </w:pPr>
            <w:r>
              <w:rPr>
                <w:sz w:val="19"/>
                <w:rtl w:val="1"/>
                <w:lang w:bidi="ar-SA"/>
              </w:rPr>
              <w:t>—</w:t>
            </w:r>
          </w:p>
        </w:tc>
      </w:tr>
      <w:tr>
        <w:tc>
          <w:tcPr>
            <w:tcW w:type="dxa" w:w="3250"/>
          </w:tcPr>
          <w:p>
            <w:pPr>
              <w:bidi/>
            </w:pPr>
            <w:r>
              <w:rPr>
                <w:b/>
                <w:sz w:val="19"/>
                <w:rtl w:val="1"/>
                <w:lang w:bidi="ar-SA"/>
              </w:rPr>
              <w:t>كشف الحضور</w:t>
            </w:r>
          </w:p>
        </w:tc>
        <w:tc>
          <w:tcPr>
            <w:tcW w:type="dxa" w:w="3250"/>
          </w:tcPr>
          <w:p>
            <w:pPr>
              <w:bidi/>
            </w:pPr>
            <w:r>
              <w:rPr>
                <w:sz w:val="19"/>
                <w:rtl w:val="1"/>
                <w:lang w:bidi="ar-SA"/>
              </w:rPr>
              <w:t>كشف اليوم موزّعاً على أوقات الجلسات</w:t>
            </w:r>
          </w:p>
        </w:tc>
        <w:tc>
          <w:tcPr>
            <w:tcW w:type="dxa" w:w="3250"/>
          </w:tcPr>
          <w:p>
            <w:pPr>
              <w:bidi/>
            </w:pPr>
            <w:r>
              <w:rPr>
                <w:sz w:val="19"/>
                <w:rtl w:val="1"/>
                <w:lang w:bidi="ar-SA"/>
              </w:rPr>
              <w:t>—</w:t>
            </w:r>
          </w:p>
        </w:tc>
      </w:tr>
    </w:tbl>
    <w:p/>
    <w:p>
      <w:pPr>
        <w:bidi/>
        <w:ind w:left="360" w:right="216"/>
        <w:shd w:val="clear" w:color="auto" w:fill="FFF8E6"/>
      </w:pPr>
      <w:r>
        <w:rPr>
          <w:sz w:val="21"/>
          <w:rtl w:val="1"/>
          <w:lang w:bidi="ar-SA"/>
        </w:rPr>
        <w:t xml:space="preserve">🔒 </w:t>
      </w:r>
      <w:r>
        <w:rPr>
          <w:b/>
          <w:sz w:val="21"/>
          <w:rtl w:val="1"/>
          <w:lang w:bidi="ar-SA"/>
        </w:rPr>
        <w:t>لا يُسلَّم إلا المعتمَد.</w:t>
      </w:r>
      <w:r>
        <w:rPr>
          <w:sz w:val="21"/>
          <w:rtl w:val="1"/>
          <w:lang w:bidi="ar-SA"/>
        </w:rPr>
        <w:t xml:space="preserve"> التسليم فعلٌ خارج المنصّة يُبنى عليه حضور أناس، فلا يسبق اعتماد مدير المركز — لا باختيار الموجة ولا بكتابة تاريخين.</w:t>
      </w:r>
    </w:p>
    <w:p>
      <w:pPr>
        <w:pStyle w:val="Heading1"/>
        <w:pageBreakBefore/>
        <w:bidi/>
      </w:pPr>
      <w:r>
        <w:rPr>
          <w:rtl w:val="1"/>
          <w:lang w:bidi="ar-SA"/>
        </w:rPr>
        <w:t>ملخّص المسار في سطور</w:t>
      </w:r>
    </w:p>
    <w:p>
      <w:pPr>
        <w:pStyle w:val="ListNumber"/>
        <w:bidi/>
      </w:pPr>
      <w:r>
        <w:rPr>
          <w:b/>
          <w:rtl w:val="1"/>
          <w:lang w:bidi="ar-SA"/>
        </w:rPr>
        <w:t>يُضاف</w:t>
      </w:r>
      <w:r>
        <w:rPr>
          <w:rtl w:val="1"/>
          <w:lang w:bidi="ar-SA"/>
        </w:rPr>
        <w:t xml:space="preserve"> المشارك — من الجهة أو من مسؤول الجدولة.</w:t>
      </w:r>
    </w:p>
    <w:p>
      <w:pPr>
        <w:pStyle w:val="ListNumber"/>
        <w:bidi/>
      </w:pPr>
      <w:r>
        <w:rPr>
          <w:b/>
          <w:rtl w:val="1"/>
          <w:lang w:bidi="ar-SA"/>
        </w:rPr>
        <w:t>يُعتمد</w:t>
      </w:r>
      <w:r>
        <w:rPr>
          <w:rtl w:val="1"/>
          <w:lang w:bidi="ar-SA"/>
        </w:rPr>
        <w:t xml:space="preserve"> ترشيحه فيصير «مجدول».</w:t>
      </w:r>
    </w:p>
    <w:p>
      <w:pPr>
        <w:pStyle w:val="ListNumber"/>
        <w:bidi/>
      </w:pPr>
      <w:r>
        <w:rPr>
          <w:b/>
          <w:rtl w:val="1"/>
          <w:lang w:bidi="ar-SA"/>
        </w:rPr>
        <w:t>تُنشأ موجة</w:t>
      </w:r>
      <w:r>
        <w:rPr>
          <w:rtl w:val="1"/>
          <w:lang w:bidi="ar-SA"/>
        </w:rPr>
        <w:t xml:space="preserve"> بتواريخها.</w:t>
      </w:r>
    </w:p>
    <w:p>
      <w:pPr>
        <w:pStyle w:val="ListNumber"/>
        <w:bidi/>
      </w:pPr>
      <w:r>
        <w:rPr>
          <w:b/>
          <w:rtl w:val="1"/>
          <w:lang w:bidi="ar-SA"/>
        </w:rPr>
        <w:t>تُبنى لوحتها</w:t>
      </w:r>
      <w:r>
        <w:rPr>
          <w:rtl w:val="1"/>
          <w:lang w:bidi="ar-SA"/>
        </w:rPr>
        <w:t>: الأسماء ومقاعدها وأنشطتها ونصابها.</w:t>
      </w:r>
    </w:p>
    <w:p>
      <w:pPr>
        <w:pStyle w:val="ListNumber"/>
        <w:bidi/>
      </w:pPr>
      <w:r>
        <w:rPr>
          <w:b/>
          <w:rtl w:val="1"/>
          <w:lang w:bidi="ar-SA"/>
        </w:rPr>
        <w:t>تُجدوَل الجلسة</w:t>
      </w:r>
      <w:r>
        <w:rPr>
          <w:rtl w:val="1"/>
          <w:lang w:bidi="ar-SA"/>
        </w:rPr>
        <w:t xml:space="preserve"> ويُسنَد المقيّم — بالنصاب مُنذِراً، وبتعارض الوقت مانعاً.</w:t>
      </w:r>
    </w:p>
    <w:p>
      <w:pPr>
        <w:pStyle w:val="ListNumber"/>
        <w:bidi/>
      </w:pPr>
      <w:r>
        <w:rPr>
          <w:b/>
          <w:rtl w:val="1"/>
          <w:lang w:bidi="ar-SA"/>
        </w:rPr>
        <w:t>تُرسَل الموجة</w:t>
      </w:r>
      <w:r>
        <w:rPr>
          <w:rtl w:val="1"/>
          <w:lang w:bidi="ar-SA"/>
        </w:rPr>
        <w:t xml:space="preserve"> لمدير المركز فيعتمدها — ولا يعتمد ما أرسله بنفسه.</w:t>
      </w:r>
    </w:p>
    <w:p>
      <w:pPr>
        <w:pStyle w:val="ListNumber"/>
        <w:bidi/>
      </w:pPr>
      <w:r>
        <w:rPr>
          <w:b/>
          <w:rtl w:val="1"/>
          <w:lang w:bidi="ar-SA"/>
        </w:rPr>
        <w:t>يوم الجلسة</w:t>
      </w:r>
      <w:r>
        <w:rPr>
          <w:rtl w:val="1"/>
          <w:lang w:bidi="ar-SA"/>
        </w:rPr>
        <w:t>: استقبالٌ فتوزيعٌ فتقييم.</w:t>
      </w:r>
    </w:p>
    <w:sectPr w:rsidR="00FC693F" w:rsidRPr="0006063C" w:rsidSect="00034616">
      <w:footerReference w:type="default" r:id="rId9"/>
      <w:pgSz w:w="11909" w:h="16834"/>
      <w:pgMar w:top="1152" w:right="1080" w:bottom="1152"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6B45"/>
      <w:sz w:val="40"/>
      <w:szCs w:val="28"/>
      <w:rFonts w:ascii="Arial" w:hAnsi="Arial" w:cs="Aria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6B45"/>
      <w:sz w:val="30"/>
      <w:szCs w:val="26"/>
      <w:rFonts w:ascii="Arial" w:hAnsi="Arial" w:cs="Ari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548"/>
      <w:sz w:val="25"/>
      <w:rFonts w:ascii="Arial" w:hAnsi="Arial" w:cs="Aria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D5548"/>
      <w:sz w:val="23"/>
      <w:rFonts w:ascii="Arial" w:hAnsi="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