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A432C"/>
          <w:sz w:val="48"/>
        </w:rPr>
        <w:t>API &amp; INTEGRATION SPECIFICATION</w:t>
      </w:r>
    </w:p>
    <w:p>
      <w:pPr>
        <w:jc w:val="center"/>
      </w:pPr>
      <w:r>
        <w:rPr>
          <w:rFonts w:ascii="Arial" w:hAnsi="Arial"/>
          <w:color w:val="68736A"/>
          <w:sz w:val="22"/>
        </w:rPr>
        <w:t>Dopamin Cafe Accounting &amp; Inventory System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  <w:cantSplit/>
        </w:trPr>
        <w:tc>
          <w:tcPr>
            <w:tcW w:type="dxa" w:w="5328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7"/>
              </w:rPr>
              <w:t>API-DOPAMIN-ACCINV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7"/>
              </w:rPr>
              <w:t>0.3 - Implementation Baseline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Parent Artifacts</w:t>
            </w:r>
          </w:p>
        </w:tc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7"/>
              </w:rPr>
              <w:t>SRS v0.1; ERD v0.1; SDD v0.1; UI/UX v0.1; Physical DB v0.2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Business Timezone</w:t>
            </w:r>
          </w:p>
        </w:tc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7"/>
              </w:rPr>
              <w:t>Asia/Jakarta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Application Style</w:t>
            </w:r>
          </w:p>
        </w:tc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7"/>
              </w:rPr>
              <w:t>Next.js modular monolith + PostgreSQL + PWA</w:t>
            </w:r>
          </w:p>
        </w:tc>
      </w:tr>
    </w:tbl>
    <w:p/>
    <w:p>
      <w:pPr>
        <w:pStyle w:val="Heading1"/>
      </w:pPr>
      <w:r>
        <w:t>1. Purpose and Scope</w:t>
      </w:r>
    </w:p>
    <w:p>
      <w:pPr>
        <w:spacing w:after="80" w:line="259" w:lineRule="auto"/>
      </w:pPr>
      <w:r>
        <w:t>This specification defines the concrete API conventions implemented in the v0.3 scaffold: Google OAuth-backed application access, server-side RBAC, signed Google Forms/Sheets ingestion, and initial finance mutations. It does not invent unresolved source-field mappings, menu masters, expense categories, or the final petty-cash closing formula.</w:t>
      </w:r>
    </w:p>
    <w:p>
      <w:pPr>
        <w:pStyle w:val="Heading1"/>
      </w:pPr>
      <w:r>
        <w:t>2. API Conventions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  <w:cantSplit/>
        </w:trPr>
        <w:tc>
          <w:tcPr>
            <w:tcW w:type="dxa" w:w="5328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5328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Baseline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Transport</w:t>
            </w:r>
          </w:p>
        </w:tc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HTTPS only outside local development.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Format</w:t>
            </w:r>
          </w:p>
        </w:tc>
        <w:tc>
          <w:tcPr>
            <w:tcW w:type="dxa" w:w="5328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application/json; UTF-8.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Money</w:t>
            </w:r>
          </w:p>
        </w:tc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Decimal/string-safe IDR; server converts to NUMERIC(18,2).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Business Date</w:t>
            </w:r>
          </w:p>
        </w:tc>
        <w:tc>
          <w:tcPr>
            <w:tcW w:type="dxa" w:w="5328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YYYY-MM-DD in Asia/Jakarta context.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Authentication</w:t>
            </w:r>
          </w:p>
        </w:tc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Google OAuth -&gt; approved active users table -&gt; PostgreSQL RBAC.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Response</w:t>
            </w:r>
          </w:p>
        </w:tc>
        <w:tc>
          <w:tcPr>
            <w:tcW w:type="dxa" w:w="5328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{ ok, data } or { ok:false, error:{code,message,details?} }; integration responses also include correlationId.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Authorization</w:t>
            </w:r>
          </w:p>
        </w:tc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Server-side permission check for every protected mutation/query.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Idempotency</w:t>
            </w:r>
          </w:p>
        </w:tc>
        <w:tc>
          <w:tcPr>
            <w:tcW w:type="dxa" w:w="5328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Google ingestion: source + row key + payload hash. Same hash is a no-op; changed hash becomes a new raw revision.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Hard delete</w:t>
            </w:r>
          </w:p>
        </w:tc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Not allowed for posted financials/journals/audit/report snapshots/corrections.</w:t>
            </w:r>
          </w:p>
        </w:tc>
      </w:tr>
    </w:tbl>
    <w:p/>
    <w:p>
      <w:pPr>
        <w:pStyle w:val="Heading1"/>
      </w:pPr>
      <w:r>
        <w:t>3. Authentication &amp; Session Endpoints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664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664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2664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2664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GET/POST</w:t>
            </w:r>
          </w:p>
        </w:tc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/api/auth/[...nextauth]</w:t>
            </w:r>
          </w:p>
        </w:tc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OAuth flow</w:t>
            </w:r>
          </w:p>
        </w:tc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Auth.js/Google provider handler.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GET</w:t>
            </w:r>
          </w:p>
        </w:tc>
        <w:tc>
          <w:tcPr>
            <w:tcW w:type="dxa" w:w="2664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/api/me</w:t>
            </w:r>
          </w:p>
        </w:tc>
        <w:tc>
          <w:tcPr>
            <w:tcW w:type="dxa" w:w="2664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Session</w:t>
            </w:r>
          </w:p>
        </w:tc>
        <w:tc>
          <w:tcPr>
            <w:tcW w:type="dxa" w:w="2664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Returns current active application actor, role, and permission codes.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GET</w:t>
            </w:r>
          </w:p>
        </w:tc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/login</w:t>
            </w:r>
          </w:p>
        </w:tc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Public</w:t>
            </w:r>
          </w:p>
        </w:tc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Branded Google sign-in entry page.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Protected pages</w:t>
            </w:r>
          </w:p>
        </w:tc>
        <w:tc>
          <w:tcPr>
            <w:tcW w:type="dxa" w:w="2664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/(protected)/*</w:t>
            </w:r>
          </w:p>
        </w:tc>
        <w:tc>
          <w:tcPr>
            <w:tcW w:type="dxa" w:w="2664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Session + DB user</w:t>
            </w:r>
          </w:p>
        </w:tc>
        <w:tc>
          <w:tcPr>
            <w:tcW w:type="dxa" w:w="2664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Layout rejects inactive/unregistered accounts.</w:t>
            </w:r>
          </w:p>
        </w:tc>
      </w:tr>
    </w:tbl>
    <w:p/>
    <w:p>
      <w:pPr>
        <w:pStyle w:val="Heading1"/>
      </w:pPr>
      <w:r>
        <w:t>4. Google Forms / Sheets Signed Webhook</w:t>
      </w:r>
    </w:p>
    <w:p>
      <w:pPr>
        <w:spacing w:after="80" w:line="259" w:lineRule="auto"/>
      </w:pPr>
      <w:r>
        <w:t>Endpoint: POST /api/integrations/google-form/{sourceKey}. Supported source keys in v0.3 are CASHIER, KITCHEN, and BEVERAGE (prefix aliases such as CASHIER_REPORT_V1 are canonicalized). OPEX remains historical/import scope and is not accepted by this form webhook.</w:t>
      </w:r>
    </w:p>
    <w:p>
      <w:pPr>
        <w:pStyle w:val="Heading2"/>
      </w:pPr>
      <w:r>
        <w:t>4.1 Required Headers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  <w:cantSplit/>
        </w:trPr>
        <w:tc>
          <w:tcPr>
            <w:tcW w:type="dxa" w:w="5328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Header</w:t>
            </w:r>
          </w:p>
        </w:tc>
        <w:tc>
          <w:tcPr>
            <w:tcW w:type="dxa" w:w="5328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Content-Type</w:t>
            </w:r>
          </w:p>
        </w:tc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application/json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X-Dopamin-Timestamp</w:t>
            </w:r>
          </w:p>
        </w:tc>
        <w:tc>
          <w:tcPr>
            <w:tcW w:type="dxa" w:w="5328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Unix epoch seconds.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X-Dopamin-Signature</w:t>
            </w:r>
          </w:p>
        </w:tc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sha256=&lt;hex&gt;; HMAC-SHA256 over timestamp + "." + exact request body.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X-Correlation-Id</w:t>
            </w:r>
          </w:p>
        </w:tc>
        <w:tc>
          <w:tcPr>
            <w:tcW w:type="dxa" w:w="5328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Optional; generated by backend when absent.</w:t>
            </w:r>
          </w:p>
        </w:tc>
      </w:tr>
    </w:tbl>
    <w:p/>
    <w:p>
      <w:pPr>
        <w:spacing w:after="80" w:line="259" w:lineRule="auto"/>
      </w:pPr>
      <w:r>
        <w:t>Requests outside the 300-second replay window or with an invalid signature return HTTP 401. The integration secret is stored in Apps Script Properties and server environment variables, never spreadsheet cells.</w:t>
      </w:r>
    </w:p>
    <w:p>
      <w:pPr>
        <w:pStyle w:val="Heading2"/>
      </w:pPr>
      <w:r>
        <w:t>4.2 Request Envelope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664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664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664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2664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sourceKey</w:t>
            </w:r>
          </w:p>
        </w:tc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string</w:t>
            </w:r>
          </w:p>
        </w:tc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Yes</w:t>
            </w:r>
          </w:p>
        </w:tc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Route path is authoritative; canonical source selector.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spreadsheetId</w:t>
            </w:r>
          </w:p>
        </w:tc>
        <w:tc>
          <w:tcPr>
            <w:tcW w:type="dxa" w:w="2664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string</w:t>
            </w:r>
          </w:p>
        </w:tc>
        <w:tc>
          <w:tcPr>
            <w:tcW w:type="dxa" w:w="2664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Optional</w:t>
            </w:r>
          </w:p>
        </w:tc>
        <w:tc>
          <w:tcPr>
            <w:tcW w:type="dxa" w:w="2664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Validated against configured data_sources when configured.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sheetName</w:t>
            </w:r>
          </w:p>
        </w:tc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string</w:t>
            </w:r>
          </w:p>
        </w:tc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Optional</w:t>
            </w:r>
          </w:p>
        </w:tc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Validated when configured.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rowKey</w:t>
            </w:r>
          </w:p>
        </w:tc>
        <w:tc>
          <w:tcPr>
            <w:tcW w:type="dxa" w:w="2664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string</w:t>
            </w:r>
          </w:p>
        </w:tc>
        <w:tc>
          <w:tcPr>
            <w:tcW w:type="dxa" w:w="2664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Yes</w:t>
            </w:r>
          </w:p>
        </w:tc>
        <w:tc>
          <w:tcPr>
            <w:tcW w:type="dxa" w:w="2664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Stable source row/submission identity.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submittedAt</w:t>
            </w:r>
          </w:p>
        </w:tc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ISO timestamp with offset</w:t>
            </w:r>
          </w:p>
        </w:tc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Yes</w:t>
            </w:r>
          </w:p>
        </w:tc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Source evidence timestamp; not Business Date.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eventCreatedAt</w:t>
            </w:r>
          </w:p>
        </w:tc>
        <w:tc>
          <w:tcPr>
            <w:tcW w:type="dxa" w:w="2664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ISO timestamp with offset</w:t>
            </w:r>
          </w:p>
        </w:tc>
        <w:tc>
          <w:tcPr>
            <w:tcW w:type="dxa" w:w="2664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Optional</w:t>
            </w:r>
          </w:p>
        </w:tc>
        <w:tc>
          <w:tcPr>
            <w:tcW w:type="dxa" w:w="2664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Apps Script event creation time.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payload</w:t>
            </w:r>
          </w:p>
        </w:tc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object</w:t>
            </w:r>
          </w:p>
        </w:tc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Yes</w:t>
            </w:r>
          </w:p>
        </w:tc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Original field/value map preserved as raw evidence.</w:t>
            </w:r>
          </w:p>
        </w:tc>
      </w:tr>
    </w:tbl>
    <w:p/>
    <w:p>
      <w:pPr>
        <w:pStyle w:val="Heading2"/>
      </w:pPr>
      <w:r>
        <w:t>4.3 Ingestion Processing</w:t>
      </w:r>
    </w:p>
    <w:p>
      <w:pPr>
        <w:pStyle w:val="ListBullet"/>
        <w:spacing w:after="40"/>
      </w:pPr>
      <w:r>
        <w:t>Verify HMAC and source configuration before persistence.</w:t>
      </w:r>
    </w:p>
    <w:p>
      <w:pPr>
        <w:pStyle w:val="ListBullet"/>
        <w:spacing w:after="40"/>
      </w:pPr>
      <w:r>
        <w:t>Compute stable SHA-256 payload hash.</w:t>
      </w:r>
    </w:p>
    <w:p>
      <w:pPr>
        <w:pStyle w:val="ListBullet"/>
        <w:spacing w:after="40"/>
      </w:pPr>
      <w:r>
        <w:t>Same source + row + hash: return idempotent success without duplicate normalized records.</w:t>
      </w:r>
    </w:p>
    <w:p>
      <w:pPr>
        <w:pStyle w:val="ListBullet"/>
        <w:spacing w:after="40"/>
      </w:pPr>
      <w:r>
        <w:t>Same source + row + different hash: create source_revision + 1, link supersedes_submission_id, mark previous raw/normalized version SUPERSEDED.</w:t>
      </w:r>
    </w:p>
    <w:p>
      <w:pPr>
        <w:pStyle w:val="ListBullet"/>
        <w:spacing w:after="40"/>
      </w:pPr>
      <w:r>
        <w:t>Run source-specific normalizer and create Data Issues rather than silently accepting missing/invalid mapping.</w:t>
      </w:r>
    </w:p>
    <w:p>
      <w:pPr>
        <w:pStyle w:val="ListBullet"/>
        <w:spacing w:after="40"/>
      </w:pPr>
      <w:r>
        <w:t>Set raw processing state VALID, NEEDS_REVIEW, or ERROR.</w:t>
      </w:r>
    </w:p>
    <w:p>
      <w:pPr>
        <w:pStyle w:val="ListBullet"/>
        <w:spacing w:after="40"/>
      </w:pPr>
      <w:r>
        <w:t>Create integration audit event with correlation ID.</w:t>
      </w:r>
    </w:p>
    <w:p>
      <w:pPr>
        <w:pStyle w:val="Heading1"/>
      </w:pPr>
      <w:r>
        <w:t>5. Mapping Contract</w:t>
      </w:r>
    </w:p>
    <w:p>
      <w:pPr>
        <w:spacing w:after="80" w:line="259" w:lineRule="auto"/>
      </w:pPr>
      <w:r>
        <w:t>The current spreadsheets contain wide and branched fields. v0.3 deliberately uses source_field_mappings instead of embedding every source column into report queries. Production ingestion requires mappings to be configured.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  <w:cantSplit/>
        </w:trPr>
        <w:tc>
          <w:tcPr>
            <w:tcW w:type="dxa" w:w="3552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mapping_type</w:t>
            </w:r>
          </w:p>
        </w:tc>
        <w:tc>
          <w:tcPr>
            <w:tcW w:type="dxa" w:w="3552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target_key meaning</w:t>
            </w:r>
          </w:p>
        </w:tc>
        <w:tc>
          <w:tcPr>
            <w:tcW w:type="dxa" w:w="3552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Used by</w:t>
            </w:r>
          </w:p>
        </w:tc>
      </w:tr>
      <w:tr>
        <w:trPr>
          <w:cantSplit/>
        </w:trPr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BUSINESS_DATE</w:t>
            </w:r>
          </w:p>
        </w:tc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Logical business-date field</w:t>
            </w:r>
          </w:p>
        </w:tc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Cashier/Kitchen/Beverage</w:t>
            </w:r>
          </w:p>
        </w:tc>
      </w:tr>
      <w:tr>
        <w:trPr>
          <w:cantSplit/>
        </w:trPr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CASHIER_NAME</w:t>
            </w:r>
          </w:p>
        </w:tc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Logical cashier identity</w:t>
            </w:r>
          </w:p>
        </w:tc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Cashier</w:t>
            </w:r>
          </w:p>
        </w:tc>
      </w:tr>
      <w:tr>
        <w:trPr>
          <w:cantSplit/>
        </w:trPr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INPUTTER_NAME</w:t>
            </w:r>
          </w:p>
        </w:tc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Logical Kitchen/Barista inputter</w:t>
            </w:r>
          </w:p>
        </w:tc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Kitchen/Beverage</w:t>
            </w:r>
          </w:p>
        </w:tc>
      </w:tr>
      <w:tr>
        <w:trPr>
          <w:cantSplit/>
        </w:trPr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SHIFT_CODE</w:t>
            </w:r>
          </w:p>
        </w:tc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Shift identifier</w:t>
            </w:r>
          </w:p>
        </w:tc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Cashier</w:t>
            </w:r>
          </w:p>
        </w:tc>
      </w:tr>
      <w:tr>
        <w:trPr>
          <w:cantSplit/>
        </w:trPr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TRANSACTION_TYPE</w:t>
            </w:r>
          </w:p>
        </w:tc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Source transaction/report type</w:t>
            </w:r>
          </w:p>
        </w:tc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Cashier</w:t>
            </w:r>
          </w:p>
        </w:tc>
      </w:tr>
      <w:tr>
        <w:trPr>
          <w:cantSplit/>
        </w:trPr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OPENING_CLOSING_STATUS</w:t>
            </w:r>
          </w:p>
        </w:tc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Opening/closing branch state</w:t>
            </w:r>
          </w:p>
        </w:tc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Cashier</w:t>
            </w:r>
          </w:p>
        </w:tc>
      </w:tr>
      <w:tr>
        <w:trPr>
          <w:cantSplit/>
        </w:trPr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PETTY_CASH</w:t>
            </w:r>
          </w:p>
        </w:tc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Petty cash amount</w:t>
            </w:r>
          </w:p>
        </w:tc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Cashier</w:t>
            </w:r>
          </w:p>
        </w:tc>
      </w:tr>
      <w:tr>
        <w:trPr>
          <w:cantSplit/>
        </w:trPr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CASH_OUTSIDE_PETTY</w:t>
            </w:r>
          </w:p>
        </w:tc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Cash outside petty amount</w:t>
            </w:r>
          </w:p>
        </w:tc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Cashier</w:t>
            </w:r>
          </w:p>
        </w:tc>
      </w:tr>
      <w:tr>
        <w:trPr>
          <w:cantSplit/>
        </w:trPr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PAYMENT</w:t>
            </w:r>
          </w:p>
        </w:tc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Payment method master code, e.g. CASH / QRIS</w:t>
            </w:r>
          </w:p>
        </w:tc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Cashier</w:t>
            </w:r>
          </w:p>
        </w:tc>
      </w:tr>
      <w:tr>
        <w:trPr>
          <w:cantSplit/>
        </w:trPr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EXPENSE</w:t>
            </w:r>
          </w:p>
        </w:tc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Expense category master code</w:t>
            </w:r>
          </w:p>
        </w:tc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Cashier</w:t>
            </w:r>
          </w:p>
        </w:tc>
      </w:tr>
      <w:tr>
        <w:trPr>
          <w:cantSplit/>
        </w:trPr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CASH_COUNT</w:t>
            </w:r>
          </w:p>
        </w:tc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Denomination amount, e.g. 100000</w:t>
            </w:r>
          </w:p>
        </w:tc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Cashier</w:t>
            </w:r>
          </w:p>
        </w:tc>
      </w:tr>
      <w:tr>
        <w:trPr>
          <w:cantSplit/>
        </w:trPr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SALE_ITEM</w:t>
            </w:r>
          </w:p>
        </w:tc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menu_items.code</w:t>
            </w:r>
          </w:p>
        </w:tc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Kitchen/Beverage</w:t>
            </w:r>
          </w:p>
        </w:tc>
      </w:tr>
    </w:tbl>
    <w:p/>
    <w:p>
      <w:pPr>
        <w:pStyle w:val="Heading1"/>
      </w:pPr>
      <w:r>
        <w:t>6. Initial Finance Mutation APIs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664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664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2664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2664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POST</w:t>
            </w:r>
          </w:p>
        </w:tc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/api/finance/funding</w:t>
            </w:r>
          </w:p>
        </w:tc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FINANCE_COMPANY_FUNDING</w:t>
            </w:r>
          </w:p>
        </w:tc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Company -&gt; Housebank external funding; no sales revenue.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POST</w:t>
            </w:r>
          </w:p>
        </w:tc>
        <w:tc>
          <w:tcPr>
            <w:tcW w:type="dxa" w:w="2664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/api/finance/transfer</w:t>
            </w:r>
          </w:p>
        </w:tc>
        <w:tc>
          <w:tcPr>
            <w:tcW w:type="dxa" w:w="2664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FINANCE_TRANSFER</w:t>
            </w:r>
          </w:p>
        </w:tc>
        <w:tc>
          <w:tcPr>
            <w:tcW w:type="dxa" w:w="2664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Internal fund transfer; no revenue/expense.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POST</w:t>
            </w:r>
          </w:p>
        </w:tc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/api/finance/expense</w:t>
            </w:r>
          </w:p>
        </w:tc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FINANCE_EXPENSE</w:t>
            </w:r>
          </w:p>
        </w:tc>
        <w:tc>
          <w:tcPr>
            <w:tcW w:type="dxa" w:w="2664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Standalone operational expense from an internal fund account.</w:t>
            </w:r>
          </w:p>
        </w:tc>
      </w:tr>
    </w:tbl>
    <w:p/>
    <w:p>
      <w:pPr>
        <w:pStyle w:val="Heading2"/>
      </w:pPr>
      <w:r>
        <w:t>6.1 Company Funding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  <w:cantSplit/>
        </w:trPr>
        <w:tc>
          <w:tcPr>
            <w:tcW w:type="dxa" w:w="5328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businessDate</w:t>
            </w:r>
          </w:p>
        </w:tc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YYYY-MM-DD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amount</w:t>
            </w:r>
          </w:p>
        </w:tc>
        <w:tc>
          <w:tcPr>
            <w:tcW w:type="dxa" w:w="5328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&gt; 0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description</w:t>
            </w:r>
          </w:p>
        </w:tc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Required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referenceNo</w:t>
            </w:r>
          </w:p>
        </w:tc>
        <w:tc>
          <w:tcPr>
            <w:tcW w:type="dxa" w:w="5328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Optional source/company reference</w:t>
            </w:r>
          </w:p>
        </w:tc>
      </w:tr>
    </w:tbl>
    <w:p/>
    <w:p>
      <w:pPr>
        <w:spacing w:after="80" w:line="259" w:lineRule="auto"/>
      </w:pPr>
      <w:r>
        <w:t>Atomic side effects: fund_transactions(EXTERNAL_FUNDING) + balanced journal + audit event. Debit Housebank; credit provisional COA 3001 Company Funding / Intercompany. Final Equity/Liability classification remains an explicit accounting sign-off item from the source baseline.</w:t>
      </w:r>
    </w:p>
    <w:p>
      <w:pPr>
        <w:pStyle w:val="Heading2"/>
      </w:pPr>
      <w:r>
        <w:t>6.2 Internal Transfer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  <w:cantSplit/>
        </w:trPr>
        <w:tc>
          <w:tcPr>
            <w:tcW w:type="dxa" w:w="5328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businessDate</w:t>
            </w:r>
          </w:p>
        </w:tc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YYYY-MM-DD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amount</w:t>
            </w:r>
          </w:p>
        </w:tc>
        <w:tc>
          <w:tcPr>
            <w:tcW w:type="dxa" w:w="5328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&gt; 0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sourceCode</w:t>
            </w:r>
          </w:p>
        </w:tc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Active fund account code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destinationCode</w:t>
            </w:r>
          </w:p>
        </w:tc>
        <w:tc>
          <w:tcPr>
            <w:tcW w:type="dxa" w:w="5328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Active fund account code; must differ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description</w:t>
            </w:r>
          </w:p>
        </w:tc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Required</w:t>
            </w:r>
          </w:p>
        </w:tc>
      </w:tr>
    </w:tbl>
    <w:p/>
    <w:p>
      <w:pPr>
        <w:spacing w:after="80" w:line="259" w:lineRule="auto"/>
      </w:pPr>
      <w:r>
        <w:t>Atomic side effects: INTERNAL_TRANSFER fund transaction + journal debiting destination asset and crediting source asset + audit. Revenue and expense remain zero.</w:t>
      </w:r>
    </w:p>
    <w:p>
      <w:pPr>
        <w:pStyle w:val="Heading2"/>
      </w:pPr>
      <w:r>
        <w:t>6.3 Operational Expense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  <w:cantSplit/>
        </w:trPr>
        <w:tc>
          <w:tcPr>
            <w:tcW w:type="dxa" w:w="5328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328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businessDate</w:t>
            </w:r>
          </w:p>
        </w:tc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YYYY-MM-DD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amount</w:t>
            </w:r>
          </w:p>
        </w:tc>
        <w:tc>
          <w:tcPr>
            <w:tcW w:type="dxa" w:w="5328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&gt; 0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sourceCode</w:t>
            </w:r>
          </w:p>
        </w:tc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Active fund account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expenseCategoryCode</w:t>
            </w:r>
          </w:p>
        </w:tc>
        <w:tc>
          <w:tcPr>
            <w:tcW w:type="dxa" w:w="5328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Active category mapped to expense COA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description</w:t>
            </w:r>
          </w:p>
        </w:tc>
        <w:tc>
          <w:tcPr>
            <w:tcW w:type="dxa" w:w="5328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Required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counterpartyName / receiptReference / referenceNo</w:t>
            </w:r>
          </w:p>
        </w:tc>
        <w:tc>
          <w:tcPr>
            <w:tcW w:type="dxa" w:w="5328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Optional in v0.3; policy may tighten later</w:t>
            </w:r>
          </w:p>
        </w:tc>
      </w:tr>
    </w:tbl>
    <w:p/>
    <w:p>
      <w:pPr>
        <w:spacing w:after="80" w:line="259" w:lineRule="auto"/>
      </w:pPr>
      <w:r>
        <w:t>Manager does not receive general FINANCE_EXPENSE in v0.3. Manager spending will be implemented through an approved Purchase Request state machine so the business flow remains traceable.</w:t>
      </w:r>
    </w:p>
    <w:p>
      <w:pPr>
        <w:pStyle w:val="Heading1"/>
      </w:pPr>
      <w:r>
        <w:t>7. Error Codes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  <w:cantSplit/>
        </w:trPr>
        <w:tc>
          <w:tcPr>
            <w:tcW w:type="dxa" w:w="3552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3552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3552"/>
            <w:vAlign w:val="center"/>
            <w:shd w:fill="0F623E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UNAUTHENTICATED</w:t>
            </w:r>
          </w:p>
        </w:tc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401</w:t>
            </w:r>
          </w:p>
        </w:tc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No valid application session.</w:t>
            </w:r>
          </w:p>
        </w:tc>
      </w:tr>
      <w:tr>
        <w:trPr>
          <w:cantSplit/>
        </w:trPr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FORBIDDEN</w:t>
            </w:r>
          </w:p>
        </w:tc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403</w:t>
            </w:r>
          </w:p>
        </w:tc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Authenticated actor lacks required permission.</w:t>
            </w:r>
          </w:p>
        </w:tc>
      </w:tr>
      <w:tr>
        <w:trPr>
          <w:cantSplit/>
        </w:trPr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INVALID_SIGNATURE</w:t>
            </w:r>
          </w:p>
        </w:tc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401</w:t>
            </w:r>
          </w:p>
        </w:tc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Google integration HMAC invalid/expired.</w:t>
            </w:r>
          </w:p>
        </w:tc>
      </w:tr>
      <w:tr>
        <w:trPr>
          <w:cantSplit/>
        </w:trPr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SOURCE_NOT_CONFIGURED</w:t>
            </w:r>
          </w:p>
        </w:tc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404</w:t>
            </w:r>
          </w:p>
        </w:tc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Source disabled/missing.</w:t>
            </w:r>
          </w:p>
        </w:tc>
      </w:tr>
      <w:tr>
        <w:trPr>
          <w:cantSplit/>
        </w:trPr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SOURCE_ID_MISMATCH</w:t>
            </w:r>
          </w:p>
        </w:tc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409</w:t>
            </w:r>
          </w:p>
        </w:tc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Spreadsheet/sheet conflicts with configured source.</w:t>
            </w:r>
          </w:p>
        </w:tc>
      </w:tr>
      <w:tr>
        <w:trPr>
          <w:cantSplit/>
        </w:trPr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INVALID_BUSINESS_DATE</w:t>
            </w:r>
          </w:p>
        </w:tc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422</w:t>
            </w:r>
          </w:p>
        </w:tc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Required Business Date missing/invalid; surfaced as Data Issue for ingestion.</w:t>
            </w:r>
          </w:p>
        </w:tc>
      </w:tr>
      <w:tr>
        <w:trPr>
          <w:cantSplit/>
        </w:trPr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FUND_ACCOUNT_NOT_CONFIGURED</w:t>
            </w:r>
          </w:p>
        </w:tc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422</w:t>
            </w:r>
          </w:p>
        </w:tc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Fund master missing/inactive.</w:t>
            </w:r>
          </w:p>
        </w:tc>
      </w:tr>
      <w:tr>
        <w:trPr>
          <w:cantSplit/>
        </w:trPr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EXPENSE_CATEGORY_NOT_CONFIGURED</w:t>
            </w:r>
          </w:p>
        </w:tc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422</w:t>
            </w:r>
          </w:p>
        </w:tc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Expense category missing/inactive.</w:t>
            </w:r>
          </w:p>
        </w:tc>
      </w:tr>
      <w:tr>
        <w:trPr>
          <w:cantSplit/>
        </w:trPr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INVALID_AMOUNT</w:t>
            </w:r>
          </w:p>
        </w:tc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422</w:t>
            </w:r>
          </w:p>
        </w:tc>
        <w:tc>
          <w:tcPr>
            <w:tcW w:type="dxa" w:w="3552"/>
            <w:vAlign w:val="center"/>
            <w:shd w:fill="FBFAF6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Money amount not positive/valid.</w:t>
            </w:r>
          </w:p>
        </w:tc>
      </w:tr>
      <w:tr>
        <w:trPr>
          <w:cantSplit/>
        </w:trPr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INGESTION_FAILED</w:t>
            </w:r>
          </w:p>
        </w:tc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422/500</w:t>
            </w:r>
          </w:p>
        </w:tc>
        <w:tc>
          <w:tcPr>
            <w:tcW w:type="dxa" w:w="3552"/>
            <w:vAlign w:val="center"/>
            <w:shd w:fill="F6F3E9"/>
            <w:tcBorders>
              <w:top w:val="single" w:sz="4" w:color="C8C6BC"/>
              <w:left w:val="single" w:sz="4" w:color="C8C6BC"/>
              <w:bottom w:val="single" w:sz="4" w:color="C8C6BC"/>
              <w:right w:val="single" w:sz="4" w:color="C8C6BC"/>
              <w:insideH w:val="single" w:sz="4" w:color="C8C6BC"/>
              <w:insideV w:val="single" w:sz="4" w:color="C8C6BC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D271E"/>
                <w:sz w:val="16"/>
              </w:rPr>
              <w:t>Generic ingestion validation/processing failure with correlationId.</w:t>
            </w:r>
          </w:p>
        </w:tc>
      </w:tr>
    </w:tbl>
    <w:p/>
    <w:p>
      <w:pPr>
        <w:pStyle w:val="Heading1"/>
      </w:pPr>
      <w:r>
        <w:t>8. PWA / Offline Safety</w:t>
      </w:r>
    </w:p>
    <w:p>
      <w:pPr>
        <w:pStyle w:val="ListBullet"/>
        <w:spacing w:after="40"/>
      </w:pPr>
      <w:r>
        <w:t>GET/static shell may be cached according to the PWA strategy.</w:t>
      </w:r>
    </w:p>
    <w:p>
      <w:pPr>
        <w:pStyle w:val="ListBullet"/>
        <w:spacing w:after="40"/>
      </w:pPr>
      <w:r>
        <w:t>Financial, approval, correction, user/settings, and other protected mutations are online-only.</w:t>
      </w:r>
    </w:p>
    <w:p>
      <w:pPr>
        <w:pStyle w:val="ListBullet"/>
        <w:spacing w:after="40"/>
      </w:pPr>
      <w:r>
        <w:t>The service worker must not persist API responses containing sensitive financial/user data as a durable offline source of truth.</w:t>
      </w:r>
    </w:p>
    <w:p>
      <w:pPr>
        <w:pStyle w:val="ListBullet"/>
        <w:spacing w:after="40"/>
      </w:pPr>
      <w:r>
        <w:t>No background sync queue exists for protected finance mutation endpoints in MVP.</w:t>
      </w:r>
    </w:p>
    <w:p>
      <w:pPr>
        <w:pStyle w:val="Heading1"/>
      </w:pPr>
      <w:r>
        <w:t>9. Apps Script Handoff</w:t>
      </w:r>
    </w:p>
    <w:p>
      <w:pPr>
        <w:spacing w:after="80" w:line="259" w:lineRule="auto"/>
      </w:pPr>
      <w:r>
        <w:t>The source package contains integrations/google-apps-script/Code.gs. It creates the canonical envelope, signs timestamp.body using HMAC-SHA256, posts the row, and includes replayRecentRows() for periodic reconciliation. Replay is safe because backend ingestion is idempotent.</w:t>
      </w:r>
    </w:p>
    <w:p>
      <w:pPr>
        <w:pStyle w:val="Heading1"/>
      </w:pPr>
      <w:r>
        <w:t>10. Not Yet Finalized</w:t>
      </w:r>
    </w:p>
    <w:p>
      <w:pPr>
        <w:pStyle w:val="ListBullet"/>
        <w:spacing w:after="40"/>
      </w:pPr>
      <w:r>
        <w:t>Actual Spreadsheet IDs, sheet names, and complete source_field_mappings.</w:t>
      </w:r>
    </w:p>
    <w:p>
      <w:pPr>
        <w:pStyle w:val="ListBullet"/>
        <w:spacing w:after="40"/>
      </w:pPr>
      <w:r>
        <w:t>Actual menu master and effective price history.</w:t>
      </w:r>
    </w:p>
    <w:p>
      <w:pPr>
        <w:pStyle w:val="ListBullet"/>
        <w:spacing w:after="40"/>
      </w:pPr>
      <w:r>
        <w:t>Actual expense-category master.</w:t>
      </w:r>
    </w:p>
    <w:p>
      <w:pPr>
        <w:pStyle w:val="ListBullet"/>
        <w:spacing w:after="40"/>
      </w:pPr>
      <w:r>
        <w:t>Final Cashier expected closing/petty-cash formula.</w:t>
      </w:r>
    </w:p>
    <w:p>
      <w:pPr>
        <w:pStyle w:val="ListBullet"/>
        <w:spacing w:after="40"/>
      </w:pPr>
      <w:r>
        <w:t>Purchase Request mutation endpoints and scheduler/report delivery endpoints are the next implementation tranche.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8736A"/>
        <w:sz w:val="14"/>
      </w:rPr>
      <w:t>API-DOPAMIN-ACCINV v0.3 | Confidential Internal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271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A432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623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D271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A432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